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BF3" w:rsidRDefault="00E17BF3">
      <w:pPr>
        <w:pStyle w:val="Header"/>
        <w:tabs>
          <w:tab w:val="clear" w:pos="4320"/>
          <w:tab w:val="clear" w:pos="8640"/>
        </w:tabs>
      </w:pPr>
      <w:bookmarkStart w:id="0" w:name="_GoBack"/>
      <w:bookmarkEnd w:id="0"/>
    </w:p>
    <w:p w:rsidR="00E17BF3" w:rsidRPr="004F7A66" w:rsidRDefault="00960011" w:rsidP="00F83A8E">
      <w:pPr>
        <w:pStyle w:val="Title"/>
      </w:pPr>
      <w:r w:rsidRPr="004F7A66">
        <w:t xml:space="preserve">Green </w:t>
      </w:r>
      <w:r w:rsidR="00E17BF3" w:rsidRPr="004F7A66">
        <w:t>Long-Term Control Plan</w:t>
      </w:r>
      <w:r w:rsidR="00196ABA" w:rsidRPr="004F7A66">
        <w:t xml:space="preserve">-EZ </w:t>
      </w:r>
      <w:r w:rsidR="00E17BF3" w:rsidRPr="004F7A66">
        <w:t>Template:</w:t>
      </w:r>
    </w:p>
    <w:p w:rsidR="00E17BF3" w:rsidRDefault="00E17BF3" w:rsidP="004F7A66">
      <w:pPr>
        <w:pStyle w:val="Title"/>
      </w:pPr>
      <w:r w:rsidRPr="004F7A66">
        <w:t>A Planning Tool for C</w:t>
      </w:r>
      <w:r w:rsidR="000D2DE9" w:rsidRPr="004F7A66">
        <w:t xml:space="preserve">ombined </w:t>
      </w:r>
      <w:r w:rsidRPr="004F7A66">
        <w:t>S</w:t>
      </w:r>
      <w:r w:rsidR="000D2DE9" w:rsidRPr="004F7A66">
        <w:t xml:space="preserve">ewer </w:t>
      </w:r>
      <w:r w:rsidRPr="004F7A66">
        <w:t>O</w:t>
      </w:r>
      <w:r w:rsidR="000D2DE9" w:rsidRPr="004F7A66">
        <w:t>verflow</w:t>
      </w:r>
      <w:r w:rsidRPr="004F7A66">
        <w:t xml:space="preserve"> Control in Small Communities</w:t>
      </w:r>
    </w:p>
    <w:p w:rsidR="004F7A66" w:rsidRPr="004F7A66" w:rsidRDefault="004F7A66" w:rsidP="004F7A66">
      <w:pPr>
        <w:pStyle w:val="Title"/>
      </w:pPr>
    </w:p>
    <w:p w:rsidR="004F7A66" w:rsidRPr="004F7A66" w:rsidRDefault="00726551" w:rsidP="004C6AA0">
      <w:pPr>
        <w:pStyle w:val="BodyText"/>
      </w:pPr>
      <w:r>
        <w:rPr>
          <w:noProof/>
        </w:rPr>
        <w:drawing>
          <wp:anchor distT="0" distB="0" distL="114300" distR="114300" simplePos="0" relativeHeight="251650560" behindDoc="0" locked="0" layoutInCell="1" allowOverlap="1">
            <wp:simplePos x="0" y="0"/>
            <wp:positionH relativeFrom="column">
              <wp:posOffset>3409950</wp:posOffset>
            </wp:positionH>
            <wp:positionV relativeFrom="paragraph">
              <wp:posOffset>109220</wp:posOffset>
            </wp:positionV>
            <wp:extent cx="2862580" cy="2148205"/>
            <wp:effectExtent l="57150" t="38100" r="33020" b="23495"/>
            <wp:wrapNone/>
            <wp:docPr id="147" name="Picture 147" descr="Chicago_+_Kansas_City_013_EPA perm p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hicago_+_Kansas_City_013_EPA perm pavers"/>
                    <pic:cNvPicPr>
                      <a:picLocks noChangeAspect="1" noChangeArrowheads="1"/>
                    </pic:cNvPicPr>
                  </pic:nvPicPr>
                  <pic:blipFill>
                    <a:blip r:embed="rId8"/>
                    <a:srcRect/>
                    <a:stretch>
                      <a:fillRect/>
                    </a:stretch>
                  </pic:blipFill>
                  <pic:spPr bwMode="auto">
                    <a:xfrm>
                      <a:off x="0" y="0"/>
                      <a:ext cx="2862580" cy="2148205"/>
                    </a:xfrm>
                    <a:prstGeom prst="rect">
                      <a:avLst/>
                    </a:prstGeom>
                    <a:noFill/>
                    <a:ln w="28575">
                      <a:solidFill>
                        <a:srgbClr val="000000"/>
                      </a:solidFill>
                      <a:miter lim="800000"/>
                      <a:headEnd/>
                      <a:tailEnd/>
                    </a:ln>
                  </pic:spPr>
                </pic:pic>
              </a:graphicData>
            </a:graphic>
          </wp:anchor>
        </w:drawing>
      </w:r>
    </w:p>
    <w:p w:rsidR="00E17BF3" w:rsidRDefault="00430DFB" w:rsidP="004C6AA0">
      <w:pPr>
        <w:pStyle w:val="BodyText"/>
      </w:pPr>
      <w:r>
        <w:rPr>
          <w:noProof/>
        </w:rPr>
        <mc:AlternateContent>
          <mc:Choice Requires="wps">
            <w:drawing>
              <wp:anchor distT="0" distB="0" distL="114300" distR="114300" simplePos="0" relativeHeight="251639296" behindDoc="0" locked="0" layoutInCell="1" allowOverlap="1">
                <wp:simplePos x="0" y="0"/>
                <wp:positionH relativeFrom="column">
                  <wp:posOffset>-62865</wp:posOffset>
                </wp:positionH>
                <wp:positionV relativeFrom="paragraph">
                  <wp:posOffset>315595</wp:posOffset>
                </wp:positionV>
                <wp:extent cx="0" cy="6858000"/>
                <wp:effectExtent l="3810" t="2540" r="0" b="0"/>
                <wp:wrapNone/>
                <wp:docPr id="15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54013F3" id="Line 17"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4.85pt" to="-4.95pt,5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" stroked="f"/>
            </w:pict>
          </mc:Fallback>
        </mc:AlternateContent>
      </w:r>
    </w:p>
    <w:p w:rsidR="00E17BF3" w:rsidRDefault="00E17BF3" w:rsidP="004C6AA0">
      <w:pPr>
        <w:pStyle w:val="BodyText"/>
      </w:pPr>
    </w:p>
    <w:p w:rsidR="00E17BF3" w:rsidRDefault="00726551">
      <w:pPr>
        <w:pStyle w:val="Header"/>
        <w:tabs>
          <w:tab w:val="clear" w:pos="4320"/>
          <w:tab w:val="clear" w:pos="8640"/>
          <w:tab w:val="left" w:pos="360"/>
        </w:tabs>
        <w:ind w:left="180"/>
        <w:jc w:val="center"/>
      </w:pPr>
      <w:r>
        <w:rPr>
          <w:noProof/>
          <w:sz w:val="20"/>
        </w:rPr>
        <w:drawing>
          <wp:anchor distT="0" distB="0" distL="114300" distR="114300" simplePos="0" relativeHeight="251633152" behindDoc="0" locked="0" layoutInCell="1" allowOverlap="1">
            <wp:simplePos x="0" y="0"/>
            <wp:positionH relativeFrom="column">
              <wp:posOffset>-285750</wp:posOffset>
            </wp:positionH>
            <wp:positionV relativeFrom="paragraph">
              <wp:posOffset>-3175</wp:posOffset>
            </wp:positionV>
            <wp:extent cx="5466715" cy="4300220"/>
            <wp:effectExtent l="57150" t="38100" r="38735" b="24130"/>
            <wp:wrapNone/>
            <wp:docPr id="148" name="Picture 148" descr="PSU green street March 07 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SU green street March 07 074"/>
                    <pic:cNvPicPr>
                      <a:picLocks noChangeAspect="1" noChangeArrowheads="1"/>
                    </pic:cNvPicPr>
                  </pic:nvPicPr>
                  <pic:blipFill>
                    <a:blip r:embed="rId9" cstate="print"/>
                    <a:srcRect l="4652"/>
                    <a:stretch>
                      <a:fillRect/>
                    </a:stretch>
                  </pic:blipFill>
                  <pic:spPr bwMode="auto">
                    <a:xfrm>
                      <a:off x="0" y="0"/>
                      <a:ext cx="5466715" cy="4300220"/>
                    </a:xfrm>
                    <a:prstGeom prst="rect">
                      <a:avLst/>
                    </a:prstGeom>
                    <a:noFill/>
                    <a:ln w="28575">
                      <a:solidFill>
                        <a:srgbClr val="000000"/>
                      </a:solidFill>
                      <a:miter lim="800000"/>
                      <a:headEnd/>
                      <a:tailEnd/>
                    </a:ln>
                  </pic:spPr>
                </pic:pic>
              </a:graphicData>
            </a:graphic>
          </wp:anchor>
        </w:drawing>
      </w: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726551">
      <w:pPr>
        <w:pStyle w:val="Header"/>
        <w:tabs>
          <w:tab w:val="clear" w:pos="4320"/>
          <w:tab w:val="clear" w:pos="8640"/>
          <w:tab w:val="left" w:pos="360"/>
        </w:tabs>
        <w:ind w:left="180"/>
        <w:jc w:val="center"/>
      </w:pPr>
      <w:r>
        <w:rPr>
          <w:noProof/>
        </w:rPr>
        <w:drawing>
          <wp:anchor distT="0" distB="0" distL="114300" distR="114300" simplePos="0" relativeHeight="251649536" behindDoc="0" locked="0" layoutInCell="1" allowOverlap="1">
            <wp:simplePos x="0" y="0"/>
            <wp:positionH relativeFrom="column">
              <wp:posOffset>3400425</wp:posOffset>
            </wp:positionH>
            <wp:positionV relativeFrom="paragraph">
              <wp:posOffset>99695</wp:posOffset>
            </wp:positionV>
            <wp:extent cx="2862580" cy="1981200"/>
            <wp:effectExtent l="57150" t="38100" r="33020" b="19050"/>
            <wp:wrapNone/>
            <wp:docPr id="146" name="Picture 146" descr="20080708_Chicago_City_Hall_Green_Roof_wikicommon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20080708_Chicago_City_Hall_Green_Roof_wikicommons SMALL"/>
                    <pic:cNvPicPr>
                      <a:picLocks noChangeAspect="1" noChangeArrowheads="1"/>
                    </pic:cNvPicPr>
                  </pic:nvPicPr>
                  <pic:blipFill>
                    <a:blip r:embed="rId10" cstate="print"/>
                    <a:srcRect t="11111"/>
                    <a:stretch>
                      <a:fillRect/>
                    </a:stretch>
                  </pic:blipFill>
                  <pic:spPr bwMode="auto">
                    <a:xfrm>
                      <a:off x="0" y="0"/>
                      <a:ext cx="2862580" cy="1981200"/>
                    </a:xfrm>
                    <a:prstGeom prst="rect">
                      <a:avLst/>
                    </a:prstGeom>
                    <a:noFill/>
                    <a:ln w="28575">
                      <a:solidFill>
                        <a:srgbClr val="000000"/>
                      </a:solidFill>
                      <a:miter lim="800000"/>
                      <a:headEnd/>
                      <a:tailEnd/>
                    </a:ln>
                  </pic:spPr>
                </pic:pic>
              </a:graphicData>
            </a:graphic>
          </wp:anchor>
        </w:drawing>
      </w: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E17BF3">
      <w:pPr>
        <w:pStyle w:val="Header"/>
        <w:tabs>
          <w:tab w:val="clear" w:pos="4320"/>
          <w:tab w:val="clear" w:pos="8640"/>
          <w:tab w:val="left" w:pos="360"/>
        </w:tabs>
        <w:ind w:left="180"/>
        <w:jc w:val="center"/>
      </w:pPr>
    </w:p>
    <w:p w:rsidR="00E17BF3" w:rsidRDefault="00726551">
      <w:pPr>
        <w:pStyle w:val="Header"/>
        <w:tabs>
          <w:tab w:val="clear" w:pos="4320"/>
          <w:tab w:val="clear" w:pos="8640"/>
          <w:tab w:val="left" w:pos="360"/>
        </w:tabs>
        <w:ind w:left="180"/>
        <w:jc w:val="center"/>
      </w:pPr>
      <w:r>
        <w:rPr>
          <w:noProof/>
        </w:rPr>
        <w:drawing>
          <wp:anchor distT="0" distB="0" distL="114300" distR="114300" simplePos="0" relativeHeight="251651584" behindDoc="0" locked="0" layoutInCell="1" allowOverlap="1">
            <wp:simplePos x="0" y="0"/>
            <wp:positionH relativeFrom="column">
              <wp:posOffset>3400425</wp:posOffset>
            </wp:positionH>
            <wp:positionV relativeFrom="paragraph">
              <wp:posOffset>16510</wp:posOffset>
            </wp:positionV>
            <wp:extent cx="2862580" cy="2148205"/>
            <wp:effectExtent l="57150" t="38100" r="33020" b="23495"/>
            <wp:wrapNone/>
            <wp:docPr id="149" name="Picture 149" descr="high point swale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igh point swaleEPA"/>
                    <pic:cNvPicPr>
                      <a:picLocks noChangeAspect="1" noChangeArrowheads="1"/>
                    </pic:cNvPicPr>
                  </pic:nvPicPr>
                  <pic:blipFill>
                    <a:blip r:embed="rId11" cstate="print"/>
                    <a:srcRect/>
                    <a:stretch>
                      <a:fillRect/>
                    </a:stretch>
                  </pic:blipFill>
                  <pic:spPr bwMode="auto">
                    <a:xfrm>
                      <a:off x="0" y="0"/>
                      <a:ext cx="2862580" cy="2148205"/>
                    </a:xfrm>
                    <a:prstGeom prst="rect">
                      <a:avLst/>
                    </a:prstGeom>
                    <a:noFill/>
                    <a:ln w="28575">
                      <a:solidFill>
                        <a:srgbClr val="000000"/>
                      </a:solidFill>
                      <a:miter lim="800000"/>
                      <a:headEnd/>
                      <a:tailEnd/>
                    </a:ln>
                  </pic:spPr>
                </pic:pic>
              </a:graphicData>
            </a:graphic>
          </wp:anchor>
        </w:drawing>
      </w:r>
    </w:p>
    <w:p w:rsidR="001455D0" w:rsidRDefault="001455D0" w:rsidP="001455D0">
      <w:pPr>
        <w:rPr>
          <w:rStyle w:val="TitleChar"/>
          <w:i/>
        </w:rPr>
      </w:pPr>
    </w:p>
    <w:p w:rsidR="001455D0" w:rsidRDefault="001455D0" w:rsidP="001455D0">
      <w:pPr>
        <w:rPr>
          <w:rStyle w:val="TitleChar"/>
          <w:i/>
        </w:rPr>
      </w:pPr>
    </w:p>
    <w:p w:rsidR="001455D0" w:rsidRDefault="001455D0" w:rsidP="001455D0">
      <w:pPr>
        <w:rPr>
          <w:rStyle w:val="TitleChar"/>
          <w:i/>
        </w:rPr>
      </w:pPr>
    </w:p>
    <w:p w:rsidR="001455D0" w:rsidRDefault="001455D0" w:rsidP="001455D0">
      <w:pPr>
        <w:rPr>
          <w:rStyle w:val="TitleChar"/>
          <w:i/>
        </w:rPr>
      </w:pPr>
    </w:p>
    <w:p w:rsidR="00992743" w:rsidRDefault="00E17BF3" w:rsidP="004C6AA0">
      <w:pPr>
        <w:pStyle w:val="Title"/>
        <w:rPr>
          <w:i/>
          <w:iCs/>
        </w:rPr>
      </w:pPr>
      <w:r w:rsidRPr="0068786F">
        <w:br w:type="page"/>
      </w:r>
      <w:r w:rsidR="000F69BF" w:rsidRPr="003B4CDC">
        <w:lastRenderedPageBreak/>
        <w:t>Disclaimer</w:t>
      </w:r>
    </w:p>
    <w:p w:rsidR="0062037C" w:rsidRDefault="007144CD" w:rsidP="00FA6577">
      <w:pPr>
        <w:pStyle w:val="BodyText"/>
      </w:pPr>
      <w:r>
        <w:t>The U.S. Environmental Protection Agency</w:t>
      </w:r>
      <w:r w:rsidR="004F7A66" w:rsidRPr="004F7A66">
        <w:t xml:space="preserve"> </w:t>
      </w:r>
      <w:r>
        <w:t xml:space="preserve">(EPA) </w:t>
      </w:r>
      <w:r w:rsidR="004F7A66" w:rsidRPr="004F7A66">
        <w:t xml:space="preserve">has designed Green LTCP-EZ </w:t>
      </w:r>
      <w:r w:rsidR="00DD7592">
        <w:t xml:space="preserve">Template </w:t>
      </w:r>
      <w:r w:rsidR="004F7A66" w:rsidRPr="004F7A66">
        <w:t xml:space="preserve">as a tool to help small </w:t>
      </w:r>
      <w:r>
        <w:t>combined sewer overflow (</w:t>
      </w:r>
      <w:r w:rsidR="004F7A66" w:rsidRPr="004F7A66">
        <w:t>CSO</w:t>
      </w:r>
      <w:r>
        <w:t>)</w:t>
      </w:r>
      <w:r w:rsidR="004F7A66" w:rsidRPr="004F7A66">
        <w:t xml:space="preserve"> communities develop their long-term CSO control plans</w:t>
      </w:r>
      <w:r w:rsidR="00B16B39">
        <w:t xml:space="preserve"> under the 1994 CSO Control Policy</w:t>
      </w:r>
      <w:r w:rsidR="004F7A66" w:rsidRPr="004F7A66">
        <w:t>. EPA is not mandating the use of Green LTCP-EZ or the use of the Presumption Approach</w:t>
      </w:r>
      <w:r w:rsidR="00B16B39">
        <w:t xml:space="preserve"> under the 1994 CSO Control Policy</w:t>
      </w:r>
      <w:r w:rsidR="004F7A66" w:rsidRPr="004F7A66">
        <w:t xml:space="preserve">. </w:t>
      </w:r>
      <w:r w:rsidR="00B16B39">
        <w:t xml:space="preserve">This document is not itself a regulation or legally enforceable, but rather </w:t>
      </w:r>
      <w:r w:rsidR="00A83932">
        <w:t>provides a path towards</w:t>
      </w:r>
      <w:r w:rsidR="00B16B39">
        <w:t xml:space="preserve"> compl</w:t>
      </w:r>
      <w:r w:rsidR="00A83932">
        <w:t>iance</w:t>
      </w:r>
      <w:r w:rsidR="00B16B39">
        <w:t xml:space="preserve"> with requirements of the 1994 CSO Control Policy in accordance with section 402(q) of the Clean Water Act. </w:t>
      </w:r>
      <w:r w:rsidR="004F7A66" w:rsidRPr="004F7A66">
        <w:t>Communities, small or otherwise, m</w:t>
      </w:r>
      <w:r>
        <w:t>ight</w:t>
      </w:r>
      <w:r w:rsidR="004F7A66" w:rsidRPr="004F7A66">
        <w:t xml:space="preserve"> find the tool useful and should consult with their permitting authorities to determine whether it is appropriate for them to use all or some </w:t>
      </w:r>
      <w:r w:rsidR="00F84C4E">
        <w:t xml:space="preserve">portions </w:t>
      </w:r>
      <w:r w:rsidR="004F7A66" w:rsidRPr="004F7A66">
        <w:t>of the Green LTCP-EZ</w:t>
      </w:r>
      <w:r w:rsidR="00DD7592">
        <w:t xml:space="preserve"> Template</w:t>
      </w:r>
      <w:r w:rsidR="004F7A66" w:rsidRPr="004F7A66">
        <w:t xml:space="preserve">. </w:t>
      </w:r>
    </w:p>
    <w:p w:rsidR="00627DBA" w:rsidRDefault="00627DBA" w:rsidP="00627DBA"/>
    <w:p w:rsidR="00627DBA" w:rsidRDefault="00627DBA" w:rsidP="00627DBA">
      <w:pPr>
        <w:rPr>
          <w:rFonts w:cs="Arial"/>
          <w:szCs w:val="20"/>
        </w:rPr>
        <w:sectPr w:rsidR="00627DBA" w:rsidSect="00F84C4E">
          <w:headerReference w:type="even" r:id="rId12"/>
          <w:headerReference w:type="default" r:id="rId13"/>
          <w:footerReference w:type="default" r:id="rId14"/>
          <w:headerReference w:type="first" r:id="rId15"/>
          <w:endnotePr>
            <w:numFmt w:val="decimal"/>
            <w:numRestart w:val="eachSect"/>
          </w:endnotePr>
          <w:pgSz w:w="12240" w:h="15840" w:code="1"/>
          <w:pgMar w:top="1440" w:right="1440" w:bottom="1440" w:left="1440" w:header="720" w:footer="720" w:gutter="0"/>
          <w:pgNumType w:fmt="lowerRoman"/>
          <w:cols w:space="720"/>
          <w:titlePg/>
          <w:docGrid w:linePitch="360"/>
        </w:sectPr>
      </w:pPr>
    </w:p>
    <w:p w:rsidR="00E17BF3" w:rsidRPr="001455D0" w:rsidRDefault="00E17BF3" w:rsidP="00D17869">
      <w:pPr>
        <w:pStyle w:val="TOAHeading"/>
      </w:pPr>
      <w:r w:rsidRPr="001455D0">
        <w:lastRenderedPageBreak/>
        <w:t>Contents</w:t>
      </w:r>
    </w:p>
    <w:p w:rsidR="00460F68" w:rsidRDefault="000F768F">
      <w:pPr>
        <w:pStyle w:val="TOC1"/>
        <w:rPr>
          <w:rFonts w:ascii="Calibri" w:hAnsi="Calibri" w:cs="Times New Roman"/>
          <w:b w:val="0"/>
          <w:sz w:val="22"/>
          <w:szCs w:val="22"/>
        </w:rPr>
      </w:pPr>
      <w:r>
        <w:fldChar w:fldCharType="begin"/>
      </w:r>
      <w:r w:rsidR="002A082A">
        <w:instrText xml:space="preserve"> TOC \o "1-2" \h \z \u </w:instrText>
      </w:r>
      <w:r>
        <w:fldChar w:fldCharType="separate"/>
      </w:r>
      <w:hyperlink w:anchor="_Toc285015555" w:history="1">
        <w:r w:rsidR="00460F68" w:rsidRPr="00625586">
          <w:rPr>
            <w:rStyle w:val="Hyperlink"/>
          </w:rPr>
          <w:t>Acronyms and Abbreviations</w:t>
        </w:r>
        <w:r w:rsidR="00460F68">
          <w:rPr>
            <w:webHidden/>
          </w:rPr>
          <w:tab/>
        </w:r>
        <w:r>
          <w:rPr>
            <w:webHidden/>
          </w:rPr>
          <w:fldChar w:fldCharType="begin"/>
        </w:r>
        <w:r w:rsidR="00460F68">
          <w:rPr>
            <w:webHidden/>
          </w:rPr>
          <w:instrText xml:space="preserve"> PAGEREF _Toc285015555 \h </w:instrText>
        </w:r>
        <w:r>
          <w:rPr>
            <w:webHidden/>
          </w:rPr>
        </w:r>
        <w:r>
          <w:rPr>
            <w:webHidden/>
          </w:rPr>
          <w:fldChar w:fldCharType="separate"/>
        </w:r>
        <w:r w:rsidR="004B30F2">
          <w:rPr>
            <w:webHidden/>
          </w:rPr>
          <w:t>v</w:t>
        </w:r>
        <w:r>
          <w:rPr>
            <w:webHidden/>
          </w:rPr>
          <w:fldChar w:fldCharType="end"/>
        </w:r>
      </w:hyperlink>
    </w:p>
    <w:p w:rsidR="00460F68" w:rsidRDefault="00430DFB">
      <w:pPr>
        <w:pStyle w:val="TOC1"/>
        <w:rPr>
          <w:rFonts w:ascii="Calibri" w:hAnsi="Calibri" w:cs="Times New Roman"/>
          <w:b w:val="0"/>
          <w:sz w:val="22"/>
          <w:szCs w:val="22"/>
        </w:rPr>
      </w:pPr>
      <w:hyperlink w:anchor="_Toc285015556" w:history="1">
        <w:r w:rsidR="00460F68" w:rsidRPr="00625586">
          <w:rPr>
            <w:rStyle w:val="Hyperlink"/>
          </w:rPr>
          <w:t>Background</w:t>
        </w:r>
        <w:r w:rsidR="00460F68">
          <w:rPr>
            <w:webHidden/>
          </w:rPr>
          <w:tab/>
        </w:r>
        <w:r w:rsidR="000F768F">
          <w:rPr>
            <w:webHidden/>
          </w:rPr>
          <w:fldChar w:fldCharType="begin"/>
        </w:r>
        <w:r w:rsidR="00460F68">
          <w:rPr>
            <w:webHidden/>
          </w:rPr>
          <w:instrText xml:space="preserve"> PAGEREF _Toc285015556 \h </w:instrText>
        </w:r>
        <w:r w:rsidR="000F768F">
          <w:rPr>
            <w:webHidden/>
          </w:rPr>
        </w:r>
        <w:r w:rsidR="000F768F">
          <w:rPr>
            <w:webHidden/>
          </w:rPr>
          <w:fldChar w:fldCharType="separate"/>
        </w:r>
        <w:r w:rsidR="004B30F2">
          <w:rPr>
            <w:webHidden/>
          </w:rPr>
          <w:t>1</w:t>
        </w:r>
        <w:r w:rsidR="000F768F">
          <w:rPr>
            <w:webHidden/>
          </w:rPr>
          <w:fldChar w:fldCharType="end"/>
        </w:r>
      </w:hyperlink>
    </w:p>
    <w:p w:rsidR="00460F68" w:rsidRDefault="00430DFB">
      <w:pPr>
        <w:pStyle w:val="TOC2"/>
        <w:rPr>
          <w:rFonts w:ascii="Calibri" w:hAnsi="Calibri" w:cs="Times New Roman"/>
          <w:sz w:val="22"/>
          <w:szCs w:val="22"/>
        </w:rPr>
      </w:pPr>
      <w:hyperlink w:anchor="_Toc285015557" w:history="1">
        <w:r w:rsidR="00460F68" w:rsidRPr="00625586">
          <w:rPr>
            <w:rStyle w:val="Hyperlink"/>
          </w:rPr>
          <w:t>What is the Green LTCP-EZ Template and what is its purpose?</w:t>
        </w:r>
        <w:r w:rsidR="00460F68">
          <w:rPr>
            <w:webHidden/>
          </w:rPr>
          <w:tab/>
        </w:r>
        <w:r w:rsidR="000F768F">
          <w:rPr>
            <w:webHidden/>
          </w:rPr>
          <w:fldChar w:fldCharType="begin"/>
        </w:r>
        <w:r w:rsidR="00460F68">
          <w:rPr>
            <w:webHidden/>
          </w:rPr>
          <w:instrText xml:space="preserve"> PAGEREF _Toc285015557 \h </w:instrText>
        </w:r>
        <w:r w:rsidR="000F768F">
          <w:rPr>
            <w:webHidden/>
          </w:rPr>
        </w:r>
        <w:r w:rsidR="000F768F">
          <w:rPr>
            <w:webHidden/>
          </w:rPr>
          <w:fldChar w:fldCharType="separate"/>
        </w:r>
        <w:r w:rsidR="004B30F2">
          <w:rPr>
            <w:webHidden/>
          </w:rPr>
          <w:t>1</w:t>
        </w:r>
        <w:r w:rsidR="000F768F">
          <w:rPr>
            <w:webHidden/>
          </w:rPr>
          <w:fldChar w:fldCharType="end"/>
        </w:r>
      </w:hyperlink>
    </w:p>
    <w:p w:rsidR="00460F68" w:rsidRDefault="00430DFB">
      <w:pPr>
        <w:pStyle w:val="TOC2"/>
        <w:rPr>
          <w:rFonts w:ascii="Calibri" w:hAnsi="Calibri" w:cs="Times New Roman"/>
          <w:sz w:val="22"/>
          <w:szCs w:val="22"/>
        </w:rPr>
      </w:pPr>
      <w:hyperlink w:anchor="_Toc285015558" w:history="1">
        <w:r w:rsidR="00460F68" w:rsidRPr="00625586">
          <w:rPr>
            <w:rStyle w:val="Hyperlink"/>
          </w:rPr>
          <w:t>What is the relationship between the Green LTCP-EZ and the CSO Control Policy?</w:t>
        </w:r>
        <w:r w:rsidR="00460F68">
          <w:rPr>
            <w:webHidden/>
          </w:rPr>
          <w:tab/>
        </w:r>
        <w:r w:rsidR="000F768F">
          <w:rPr>
            <w:webHidden/>
          </w:rPr>
          <w:fldChar w:fldCharType="begin"/>
        </w:r>
        <w:r w:rsidR="00460F68">
          <w:rPr>
            <w:webHidden/>
          </w:rPr>
          <w:instrText xml:space="preserve"> PAGEREF _Toc285015558 \h </w:instrText>
        </w:r>
        <w:r w:rsidR="000F768F">
          <w:rPr>
            <w:webHidden/>
          </w:rPr>
        </w:r>
        <w:r w:rsidR="000F768F">
          <w:rPr>
            <w:webHidden/>
          </w:rPr>
          <w:fldChar w:fldCharType="separate"/>
        </w:r>
        <w:r w:rsidR="004B30F2">
          <w:rPr>
            <w:webHidden/>
          </w:rPr>
          <w:t>1</w:t>
        </w:r>
        <w:r w:rsidR="000F768F">
          <w:rPr>
            <w:webHidden/>
          </w:rPr>
          <w:fldChar w:fldCharType="end"/>
        </w:r>
      </w:hyperlink>
    </w:p>
    <w:p w:rsidR="00460F68" w:rsidRDefault="00430DFB">
      <w:pPr>
        <w:pStyle w:val="TOC2"/>
        <w:rPr>
          <w:rFonts w:ascii="Calibri" w:hAnsi="Calibri" w:cs="Times New Roman"/>
          <w:sz w:val="22"/>
          <w:szCs w:val="22"/>
        </w:rPr>
      </w:pPr>
      <w:hyperlink w:anchor="_Toc285015559" w:history="1">
        <w:r w:rsidR="00460F68" w:rsidRPr="00625586">
          <w:rPr>
            <w:rStyle w:val="Hyperlink"/>
          </w:rPr>
          <w:t>Who should use the Green LTCP-EZ Template?</w:t>
        </w:r>
        <w:r w:rsidR="00460F68">
          <w:rPr>
            <w:webHidden/>
          </w:rPr>
          <w:tab/>
        </w:r>
        <w:r w:rsidR="000F768F">
          <w:rPr>
            <w:webHidden/>
          </w:rPr>
          <w:fldChar w:fldCharType="begin"/>
        </w:r>
        <w:r w:rsidR="00460F68">
          <w:rPr>
            <w:webHidden/>
          </w:rPr>
          <w:instrText xml:space="preserve"> PAGEREF _Toc285015559 \h </w:instrText>
        </w:r>
        <w:r w:rsidR="000F768F">
          <w:rPr>
            <w:webHidden/>
          </w:rPr>
        </w:r>
        <w:r w:rsidR="000F768F">
          <w:rPr>
            <w:webHidden/>
          </w:rPr>
          <w:fldChar w:fldCharType="separate"/>
        </w:r>
        <w:r w:rsidR="004B30F2">
          <w:rPr>
            <w:webHidden/>
          </w:rPr>
          <w:t>2</w:t>
        </w:r>
        <w:r w:rsidR="000F768F">
          <w:rPr>
            <w:webHidden/>
          </w:rPr>
          <w:fldChar w:fldCharType="end"/>
        </w:r>
      </w:hyperlink>
    </w:p>
    <w:p w:rsidR="00460F68" w:rsidRDefault="00430DFB">
      <w:pPr>
        <w:pStyle w:val="TOC2"/>
        <w:rPr>
          <w:rFonts w:ascii="Calibri" w:hAnsi="Calibri" w:cs="Times New Roman"/>
          <w:sz w:val="22"/>
          <w:szCs w:val="22"/>
        </w:rPr>
      </w:pPr>
      <w:hyperlink w:anchor="_Toc285015560" w:history="1">
        <w:r w:rsidR="00460F68" w:rsidRPr="00625586">
          <w:rPr>
            <w:rStyle w:val="Hyperlink"/>
          </w:rPr>
          <w:t>What approach is used in the Green LTCP-EZ Template?</w:t>
        </w:r>
        <w:r w:rsidR="00460F68">
          <w:rPr>
            <w:webHidden/>
          </w:rPr>
          <w:tab/>
        </w:r>
        <w:r w:rsidR="000F768F">
          <w:rPr>
            <w:webHidden/>
          </w:rPr>
          <w:fldChar w:fldCharType="begin"/>
        </w:r>
        <w:r w:rsidR="00460F68">
          <w:rPr>
            <w:webHidden/>
          </w:rPr>
          <w:instrText xml:space="preserve"> PAGEREF _Toc285015560 \h </w:instrText>
        </w:r>
        <w:r w:rsidR="000F768F">
          <w:rPr>
            <w:webHidden/>
          </w:rPr>
        </w:r>
        <w:r w:rsidR="000F768F">
          <w:rPr>
            <w:webHidden/>
          </w:rPr>
          <w:fldChar w:fldCharType="separate"/>
        </w:r>
        <w:r w:rsidR="004B30F2">
          <w:rPr>
            <w:webHidden/>
          </w:rPr>
          <w:t>3</w:t>
        </w:r>
        <w:r w:rsidR="000F768F">
          <w:rPr>
            <w:webHidden/>
          </w:rPr>
          <w:fldChar w:fldCharType="end"/>
        </w:r>
      </w:hyperlink>
    </w:p>
    <w:p w:rsidR="00460F68" w:rsidRDefault="00430DFB">
      <w:pPr>
        <w:pStyle w:val="TOC2"/>
        <w:rPr>
          <w:rFonts w:ascii="Calibri" w:hAnsi="Calibri" w:cs="Times New Roman"/>
          <w:sz w:val="22"/>
          <w:szCs w:val="22"/>
        </w:rPr>
      </w:pPr>
      <w:hyperlink w:anchor="_Toc285015561" w:history="1">
        <w:r w:rsidR="00460F68" w:rsidRPr="00625586">
          <w:rPr>
            <w:rStyle w:val="Hyperlink"/>
          </w:rPr>
          <w:t>How is financial capability assessed?</w:t>
        </w:r>
        <w:r w:rsidR="00460F68">
          <w:rPr>
            <w:webHidden/>
          </w:rPr>
          <w:tab/>
        </w:r>
        <w:r w:rsidR="000F768F">
          <w:rPr>
            <w:webHidden/>
          </w:rPr>
          <w:fldChar w:fldCharType="begin"/>
        </w:r>
        <w:r w:rsidR="00460F68">
          <w:rPr>
            <w:webHidden/>
          </w:rPr>
          <w:instrText xml:space="preserve"> PAGEREF _Toc285015561 \h </w:instrText>
        </w:r>
        <w:r w:rsidR="000F768F">
          <w:rPr>
            <w:webHidden/>
          </w:rPr>
        </w:r>
        <w:r w:rsidR="000F768F">
          <w:rPr>
            <w:webHidden/>
          </w:rPr>
          <w:fldChar w:fldCharType="separate"/>
        </w:r>
        <w:r w:rsidR="004B30F2">
          <w:rPr>
            <w:webHidden/>
          </w:rPr>
          <w:t>4</w:t>
        </w:r>
        <w:r w:rsidR="000F768F">
          <w:rPr>
            <w:webHidden/>
          </w:rPr>
          <w:fldChar w:fldCharType="end"/>
        </w:r>
      </w:hyperlink>
    </w:p>
    <w:p w:rsidR="00460F68" w:rsidRDefault="00430DFB">
      <w:pPr>
        <w:pStyle w:val="TOC2"/>
        <w:rPr>
          <w:rFonts w:ascii="Calibri" w:hAnsi="Calibri" w:cs="Times New Roman"/>
          <w:sz w:val="22"/>
          <w:szCs w:val="22"/>
        </w:rPr>
      </w:pPr>
      <w:hyperlink w:anchor="_Toc285015562" w:history="1">
        <w:r w:rsidR="00460F68" w:rsidRPr="00625586">
          <w:rPr>
            <w:rStyle w:val="Hyperlink"/>
          </w:rPr>
          <w:t>Summary</w:t>
        </w:r>
        <w:r w:rsidR="00460F68">
          <w:rPr>
            <w:webHidden/>
          </w:rPr>
          <w:tab/>
        </w:r>
        <w:r w:rsidR="000F768F">
          <w:rPr>
            <w:webHidden/>
          </w:rPr>
          <w:fldChar w:fldCharType="begin"/>
        </w:r>
        <w:r w:rsidR="00460F68">
          <w:rPr>
            <w:webHidden/>
          </w:rPr>
          <w:instrText xml:space="preserve"> PAGEREF _Toc285015562 \h </w:instrText>
        </w:r>
        <w:r w:rsidR="000F768F">
          <w:rPr>
            <w:webHidden/>
          </w:rPr>
        </w:r>
        <w:r w:rsidR="000F768F">
          <w:rPr>
            <w:webHidden/>
          </w:rPr>
          <w:fldChar w:fldCharType="separate"/>
        </w:r>
        <w:r w:rsidR="004B30F2">
          <w:rPr>
            <w:webHidden/>
          </w:rPr>
          <w:t>4</w:t>
        </w:r>
        <w:r w:rsidR="000F768F">
          <w:rPr>
            <w:webHidden/>
          </w:rPr>
          <w:fldChar w:fldCharType="end"/>
        </w:r>
      </w:hyperlink>
    </w:p>
    <w:p w:rsidR="00460F68" w:rsidRDefault="00430DFB">
      <w:pPr>
        <w:pStyle w:val="TOC1"/>
        <w:rPr>
          <w:rFonts w:ascii="Calibri" w:hAnsi="Calibri" w:cs="Times New Roman"/>
          <w:b w:val="0"/>
          <w:sz w:val="22"/>
          <w:szCs w:val="22"/>
        </w:rPr>
      </w:pPr>
      <w:hyperlink w:anchor="_Toc285015563" w:history="1">
        <w:r w:rsidR="00460F68" w:rsidRPr="00625586">
          <w:rPr>
            <w:rStyle w:val="Hyperlink"/>
          </w:rPr>
          <w:t>Rationale for Using Green Infrastructure for CSO Controls</w:t>
        </w:r>
        <w:r w:rsidR="00460F68">
          <w:rPr>
            <w:webHidden/>
          </w:rPr>
          <w:tab/>
        </w:r>
        <w:r w:rsidR="000F768F">
          <w:rPr>
            <w:webHidden/>
          </w:rPr>
          <w:fldChar w:fldCharType="begin"/>
        </w:r>
        <w:r w:rsidR="00460F68">
          <w:rPr>
            <w:webHidden/>
          </w:rPr>
          <w:instrText xml:space="preserve"> PAGEREF _Toc285015563 \h </w:instrText>
        </w:r>
        <w:r w:rsidR="000F768F">
          <w:rPr>
            <w:webHidden/>
          </w:rPr>
        </w:r>
        <w:r w:rsidR="000F768F">
          <w:rPr>
            <w:webHidden/>
          </w:rPr>
          <w:fldChar w:fldCharType="separate"/>
        </w:r>
        <w:r w:rsidR="004B30F2">
          <w:rPr>
            <w:webHidden/>
          </w:rPr>
          <w:t>5</w:t>
        </w:r>
        <w:r w:rsidR="000F768F">
          <w:rPr>
            <w:webHidden/>
          </w:rPr>
          <w:fldChar w:fldCharType="end"/>
        </w:r>
      </w:hyperlink>
    </w:p>
    <w:p w:rsidR="00460F68" w:rsidRDefault="00430DFB">
      <w:pPr>
        <w:pStyle w:val="TOC2"/>
        <w:rPr>
          <w:rFonts w:ascii="Calibri" w:hAnsi="Calibri" w:cs="Times New Roman"/>
          <w:sz w:val="22"/>
          <w:szCs w:val="22"/>
        </w:rPr>
      </w:pPr>
      <w:hyperlink w:anchor="_Toc285015564" w:history="1">
        <w:r w:rsidR="00460F68" w:rsidRPr="00625586">
          <w:rPr>
            <w:rStyle w:val="Hyperlink"/>
          </w:rPr>
          <w:t>What is Green Infrastructure?</w:t>
        </w:r>
        <w:r w:rsidR="00460F68">
          <w:rPr>
            <w:webHidden/>
          </w:rPr>
          <w:tab/>
        </w:r>
        <w:r w:rsidR="000F768F">
          <w:rPr>
            <w:webHidden/>
          </w:rPr>
          <w:fldChar w:fldCharType="begin"/>
        </w:r>
        <w:r w:rsidR="00460F68">
          <w:rPr>
            <w:webHidden/>
          </w:rPr>
          <w:instrText xml:space="preserve"> PAGEREF _Toc285015564 \h </w:instrText>
        </w:r>
        <w:r w:rsidR="000F768F">
          <w:rPr>
            <w:webHidden/>
          </w:rPr>
        </w:r>
        <w:r w:rsidR="000F768F">
          <w:rPr>
            <w:webHidden/>
          </w:rPr>
          <w:fldChar w:fldCharType="separate"/>
        </w:r>
        <w:r w:rsidR="004B30F2">
          <w:rPr>
            <w:webHidden/>
          </w:rPr>
          <w:t>5</w:t>
        </w:r>
        <w:r w:rsidR="000F768F">
          <w:rPr>
            <w:webHidden/>
          </w:rPr>
          <w:fldChar w:fldCharType="end"/>
        </w:r>
      </w:hyperlink>
    </w:p>
    <w:p w:rsidR="00460F68" w:rsidRDefault="00430DFB">
      <w:pPr>
        <w:pStyle w:val="TOC2"/>
        <w:rPr>
          <w:rFonts w:ascii="Calibri" w:hAnsi="Calibri" w:cs="Times New Roman"/>
          <w:sz w:val="22"/>
          <w:szCs w:val="22"/>
        </w:rPr>
      </w:pPr>
      <w:hyperlink w:anchor="_Toc285015565" w:history="1">
        <w:r w:rsidR="00460F68" w:rsidRPr="00625586">
          <w:rPr>
            <w:rStyle w:val="Hyperlink"/>
          </w:rPr>
          <w:t>Why use Green Infrastructure to manage wet weather?</w:t>
        </w:r>
        <w:r w:rsidR="00460F68">
          <w:rPr>
            <w:webHidden/>
          </w:rPr>
          <w:tab/>
        </w:r>
        <w:r w:rsidR="000F768F">
          <w:rPr>
            <w:webHidden/>
          </w:rPr>
          <w:fldChar w:fldCharType="begin"/>
        </w:r>
        <w:r w:rsidR="00460F68">
          <w:rPr>
            <w:webHidden/>
          </w:rPr>
          <w:instrText xml:space="preserve"> PAGEREF _Toc285015565 \h </w:instrText>
        </w:r>
        <w:r w:rsidR="000F768F">
          <w:rPr>
            <w:webHidden/>
          </w:rPr>
        </w:r>
        <w:r w:rsidR="000F768F">
          <w:rPr>
            <w:webHidden/>
          </w:rPr>
          <w:fldChar w:fldCharType="separate"/>
        </w:r>
        <w:r w:rsidR="004B30F2">
          <w:rPr>
            <w:webHidden/>
          </w:rPr>
          <w:t>5</w:t>
        </w:r>
        <w:r w:rsidR="000F768F">
          <w:rPr>
            <w:webHidden/>
          </w:rPr>
          <w:fldChar w:fldCharType="end"/>
        </w:r>
      </w:hyperlink>
    </w:p>
    <w:p w:rsidR="00460F68" w:rsidRDefault="00430DFB">
      <w:pPr>
        <w:pStyle w:val="TOC1"/>
        <w:rPr>
          <w:rFonts w:ascii="Calibri" w:hAnsi="Calibri" w:cs="Times New Roman"/>
          <w:b w:val="0"/>
          <w:sz w:val="22"/>
          <w:szCs w:val="22"/>
        </w:rPr>
      </w:pPr>
      <w:hyperlink w:anchor="_Toc285015566" w:history="1">
        <w:r w:rsidR="00460F68" w:rsidRPr="00625586">
          <w:rPr>
            <w:rStyle w:val="Hyperlink"/>
          </w:rPr>
          <w:t>Checklist of Materials Recommended for Completing Green LTCP-EZ</w:t>
        </w:r>
        <w:r w:rsidR="00460F68">
          <w:rPr>
            <w:webHidden/>
          </w:rPr>
          <w:tab/>
        </w:r>
        <w:r w:rsidR="000F768F">
          <w:rPr>
            <w:webHidden/>
          </w:rPr>
          <w:fldChar w:fldCharType="begin"/>
        </w:r>
        <w:r w:rsidR="00460F68">
          <w:rPr>
            <w:webHidden/>
          </w:rPr>
          <w:instrText xml:space="preserve"> PAGEREF _Toc285015566 \h </w:instrText>
        </w:r>
        <w:r w:rsidR="000F768F">
          <w:rPr>
            <w:webHidden/>
          </w:rPr>
        </w:r>
        <w:r w:rsidR="000F768F">
          <w:rPr>
            <w:webHidden/>
          </w:rPr>
          <w:fldChar w:fldCharType="separate"/>
        </w:r>
        <w:r w:rsidR="004B30F2">
          <w:rPr>
            <w:webHidden/>
          </w:rPr>
          <w:t>7</w:t>
        </w:r>
        <w:r w:rsidR="000F768F">
          <w:rPr>
            <w:webHidden/>
          </w:rPr>
          <w:fldChar w:fldCharType="end"/>
        </w:r>
      </w:hyperlink>
    </w:p>
    <w:p w:rsidR="00460F68" w:rsidRDefault="00430DFB">
      <w:pPr>
        <w:pStyle w:val="TOC1"/>
        <w:rPr>
          <w:rFonts w:ascii="Calibri" w:hAnsi="Calibri" w:cs="Times New Roman"/>
          <w:b w:val="0"/>
          <w:sz w:val="22"/>
          <w:szCs w:val="22"/>
        </w:rPr>
      </w:pPr>
      <w:hyperlink w:anchor="_Toc285015567" w:history="1">
        <w:r w:rsidR="00460F68" w:rsidRPr="00625586">
          <w:rPr>
            <w:rStyle w:val="Hyperlink"/>
          </w:rPr>
          <w:t>General Instructions: Green LTCP-EZ Template</w:t>
        </w:r>
        <w:r w:rsidR="00460F68">
          <w:rPr>
            <w:webHidden/>
          </w:rPr>
          <w:tab/>
        </w:r>
        <w:r w:rsidR="000F768F">
          <w:rPr>
            <w:webHidden/>
          </w:rPr>
          <w:fldChar w:fldCharType="begin"/>
        </w:r>
        <w:r w:rsidR="00460F68">
          <w:rPr>
            <w:webHidden/>
          </w:rPr>
          <w:instrText xml:space="preserve"> PAGEREF _Toc285015567 \h </w:instrText>
        </w:r>
        <w:r w:rsidR="000F768F">
          <w:rPr>
            <w:webHidden/>
          </w:rPr>
        </w:r>
        <w:r w:rsidR="000F768F">
          <w:rPr>
            <w:webHidden/>
          </w:rPr>
          <w:fldChar w:fldCharType="separate"/>
        </w:r>
        <w:r w:rsidR="004B30F2">
          <w:rPr>
            <w:webHidden/>
          </w:rPr>
          <w:t>11</w:t>
        </w:r>
        <w:r w:rsidR="000F768F">
          <w:rPr>
            <w:webHidden/>
          </w:rPr>
          <w:fldChar w:fldCharType="end"/>
        </w:r>
      </w:hyperlink>
    </w:p>
    <w:p w:rsidR="00460F68" w:rsidRDefault="00430DFB">
      <w:pPr>
        <w:pStyle w:val="TOC1"/>
        <w:rPr>
          <w:rFonts w:ascii="Calibri" w:hAnsi="Calibri" w:cs="Times New Roman"/>
          <w:b w:val="0"/>
          <w:sz w:val="22"/>
          <w:szCs w:val="22"/>
        </w:rPr>
      </w:pPr>
      <w:hyperlink w:anchor="_Toc285015568" w:history="1">
        <w:r w:rsidR="00460F68" w:rsidRPr="00625586">
          <w:rPr>
            <w:rStyle w:val="Hyperlink"/>
          </w:rPr>
          <w:t>Instructions: Form Green LTCP-EZ</w:t>
        </w:r>
        <w:r w:rsidR="00460F68">
          <w:rPr>
            <w:webHidden/>
          </w:rPr>
          <w:tab/>
        </w:r>
        <w:r w:rsidR="000F768F">
          <w:rPr>
            <w:webHidden/>
          </w:rPr>
          <w:fldChar w:fldCharType="begin"/>
        </w:r>
        <w:r w:rsidR="00460F68">
          <w:rPr>
            <w:webHidden/>
          </w:rPr>
          <w:instrText xml:space="preserve"> PAGEREF _Toc285015568 \h </w:instrText>
        </w:r>
        <w:r w:rsidR="000F768F">
          <w:rPr>
            <w:webHidden/>
          </w:rPr>
        </w:r>
        <w:r w:rsidR="000F768F">
          <w:rPr>
            <w:webHidden/>
          </w:rPr>
          <w:fldChar w:fldCharType="separate"/>
        </w:r>
        <w:r w:rsidR="004B30F2">
          <w:rPr>
            <w:webHidden/>
          </w:rPr>
          <w:t>13</w:t>
        </w:r>
        <w:r w:rsidR="000F768F">
          <w:rPr>
            <w:webHidden/>
          </w:rPr>
          <w:fldChar w:fldCharType="end"/>
        </w:r>
      </w:hyperlink>
    </w:p>
    <w:p w:rsidR="00460F68" w:rsidRDefault="00430DFB">
      <w:pPr>
        <w:pStyle w:val="TOC2"/>
        <w:rPr>
          <w:rFonts w:ascii="Calibri" w:hAnsi="Calibri" w:cs="Times New Roman"/>
          <w:sz w:val="22"/>
          <w:szCs w:val="22"/>
        </w:rPr>
      </w:pPr>
      <w:hyperlink w:anchor="_Toc285015569" w:history="1">
        <w:r w:rsidR="00460F68" w:rsidRPr="00625586">
          <w:rPr>
            <w:rStyle w:val="Hyperlink"/>
          </w:rPr>
          <w:t>General Information</w:t>
        </w:r>
        <w:r w:rsidR="00460F68">
          <w:rPr>
            <w:webHidden/>
          </w:rPr>
          <w:tab/>
        </w:r>
        <w:r w:rsidR="000F768F">
          <w:rPr>
            <w:webHidden/>
          </w:rPr>
          <w:fldChar w:fldCharType="begin"/>
        </w:r>
        <w:r w:rsidR="00460F68">
          <w:rPr>
            <w:webHidden/>
          </w:rPr>
          <w:instrText xml:space="preserve"> PAGEREF _Toc285015569 \h </w:instrText>
        </w:r>
        <w:r w:rsidR="000F768F">
          <w:rPr>
            <w:webHidden/>
          </w:rPr>
        </w:r>
        <w:r w:rsidR="000F768F">
          <w:rPr>
            <w:webHidden/>
          </w:rPr>
          <w:fldChar w:fldCharType="separate"/>
        </w:r>
        <w:r w:rsidR="004B30F2">
          <w:rPr>
            <w:webHidden/>
          </w:rPr>
          <w:t>13</w:t>
        </w:r>
        <w:r w:rsidR="000F768F">
          <w:rPr>
            <w:webHidden/>
          </w:rPr>
          <w:fldChar w:fldCharType="end"/>
        </w:r>
      </w:hyperlink>
    </w:p>
    <w:p w:rsidR="00460F68" w:rsidRDefault="00430DFB">
      <w:pPr>
        <w:pStyle w:val="TOC2"/>
        <w:rPr>
          <w:rFonts w:ascii="Calibri" w:hAnsi="Calibri" w:cs="Times New Roman"/>
          <w:sz w:val="22"/>
          <w:szCs w:val="22"/>
        </w:rPr>
      </w:pPr>
      <w:hyperlink w:anchor="_Toc285015570" w:history="1">
        <w:r w:rsidR="00460F68" w:rsidRPr="00625586">
          <w:rPr>
            <w:rStyle w:val="Hyperlink"/>
          </w:rPr>
          <w:t>Nine Minimum Controls</w:t>
        </w:r>
        <w:r w:rsidR="00460F68">
          <w:rPr>
            <w:webHidden/>
          </w:rPr>
          <w:tab/>
        </w:r>
        <w:r w:rsidR="000F768F">
          <w:rPr>
            <w:webHidden/>
          </w:rPr>
          <w:fldChar w:fldCharType="begin"/>
        </w:r>
        <w:r w:rsidR="00460F68">
          <w:rPr>
            <w:webHidden/>
          </w:rPr>
          <w:instrText xml:space="preserve"> PAGEREF _Toc285015570 \h </w:instrText>
        </w:r>
        <w:r w:rsidR="000F768F">
          <w:rPr>
            <w:webHidden/>
          </w:rPr>
        </w:r>
        <w:r w:rsidR="000F768F">
          <w:rPr>
            <w:webHidden/>
          </w:rPr>
          <w:fldChar w:fldCharType="separate"/>
        </w:r>
        <w:r w:rsidR="004B30F2">
          <w:rPr>
            <w:webHidden/>
          </w:rPr>
          <w:t>13</w:t>
        </w:r>
        <w:r w:rsidR="000F768F">
          <w:rPr>
            <w:webHidden/>
          </w:rPr>
          <w:fldChar w:fldCharType="end"/>
        </w:r>
      </w:hyperlink>
    </w:p>
    <w:p w:rsidR="00460F68" w:rsidRDefault="00430DFB">
      <w:pPr>
        <w:pStyle w:val="TOC2"/>
        <w:rPr>
          <w:rFonts w:ascii="Calibri" w:hAnsi="Calibri" w:cs="Times New Roman"/>
          <w:sz w:val="22"/>
          <w:szCs w:val="22"/>
        </w:rPr>
      </w:pPr>
      <w:hyperlink w:anchor="_Toc285015571" w:history="1">
        <w:r w:rsidR="00460F68" w:rsidRPr="00625586">
          <w:rPr>
            <w:rStyle w:val="Hyperlink"/>
          </w:rPr>
          <w:t>Sensitive Areas</w:t>
        </w:r>
        <w:r w:rsidR="00460F68">
          <w:rPr>
            <w:webHidden/>
          </w:rPr>
          <w:tab/>
        </w:r>
        <w:r w:rsidR="000F768F">
          <w:rPr>
            <w:webHidden/>
          </w:rPr>
          <w:fldChar w:fldCharType="begin"/>
        </w:r>
        <w:r w:rsidR="00460F68">
          <w:rPr>
            <w:webHidden/>
          </w:rPr>
          <w:instrText xml:space="preserve"> PAGEREF _Toc285015571 \h </w:instrText>
        </w:r>
        <w:r w:rsidR="000F768F">
          <w:rPr>
            <w:webHidden/>
          </w:rPr>
        </w:r>
        <w:r w:rsidR="000F768F">
          <w:rPr>
            <w:webHidden/>
          </w:rPr>
          <w:fldChar w:fldCharType="separate"/>
        </w:r>
        <w:r w:rsidR="004B30F2">
          <w:rPr>
            <w:webHidden/>
          </w:rPr>
          <w:t>14</w:t>
        </w:r>
        <w:r w:rsidR="000F768F">
          <w:rPr>
            <w:webHidden/>
          </w:rPr>
          <w:fldChar w:fldCharType="end"/>
        </w:r>
      </w:hyperlink>
    </w:p>
    <w:p w:rsidR="00460F68" w:rsidRDefault="00430DFB">
      <w:pPr>
        <w:pStyle w:val="TOC2"/>
        <w:rPr>
          <w:rFonts w:ascii="Calibri" w:hAnsi="Calibri" w:cs="Times New Roman"/>
          <w:sz w:val="22"/>
          <w:szCs w:val="22"/>
        </w:rPr>
      </w:pPr>
      <w:hyperlink w:anchor="_Toc285015572" w:history="1">
        <w:r w:rsidR="00460F68" w:rsidRPr="00625586">
          <w:rPr>
            <w:rStyle w:val="Hyperlink"/>
          </w:rPr>
          <w:t>Water Quality Considerations</w:t>
        </w:r>
        <w:r w:rsidR="00460F68">
          <w:rPr>
            <w:webHidden/>
          </w:rPr>
          <w:tab/>
        </w:r>
        <w:r w:rsidR="000F768F">
          <w:rPr>
            <w:webHidden/>
          </w:rPr>
          <w:fldChar w:fldCharType="begin"/>
        </w:r>
        <w:r w:rsidR="00460F68">
          <w:rPr>
            <w:webHidden/>
          </w:rPr>
          <w:instrText xml:space="preserve"> PAGEREF _Toc285015572 \h </w:instrText>
        </w:r>
        <w:r w:rsidR="000F768F">
          <w:rPr>
            <w:webHidden/>
          </w:rPr>
        </w:r>
        <w:r w:rsidR="000F768F">
          <w:rPr>
            <w:webHidden/>
          </w:rPr>
          <w:fldChar w:fldCharType="separate"/>
        </w:r>
        <w:r w:rsidR="004B30F2">
          <w:rPr>
            <w:webHidden/>
          </w:rPr>
          <w:t>15</w:t>
        </w:r>
        <w:r w:rsidR="000F768F">
          <w:rPr>
            <w:webHidden/>
          </w:rPr>
          <w:fldChar w:fldCharType="end"/>
        </w:r>
      </w:hyperlink>
    </w:p>
    <w:p w:rsidR="00460F68" w:rsidRDefault="00430DFB">
      <w:pPr>
        <w:pStyle w:val="TOC2"/>
        <w:rPr>
          <w:rFonts w:ascii="Calibri" w:hAnsi="Calibri" w:cs="Times New Roman"/>
          <w:sz w:val="22"/>
          <w:szCs w:val="22"/>
        </w:rPr>
      </w:pPr>
      <w:hyperlink w:anchor="_Toc285015573" w:history="1">
        <w:r w:rsidR="00460F68" w:rsidRPr="00625586">
          <w:rPr>
            <w:rStyle w:val="Hyperlink"/>
          </w:rPr>
          <w:t>System Characterization</w:t>
        </w:r>
        <w:r w:rsidR="00460F68">
          <w:rPr>
            <w:webHidden/>
          </w:rPr>
          <w:tab/>
        </w:r>
        <w:r w:rsidR="000F768F">
          <w:rPr>
            <w:webHidden/>
          </w:rPr>
          <w:fldChar w:fldCharType="begin"/>
        </w:r>
        <w:r w:rsidR="00460F68">
          <w:rPr>
            <w:webHidden/>
          </w:rPr>
          <w:instrText xml:space="preserve"> PAGEREF _Toc285015573 \h </w:instrText>
        </w:r>
        <w:r w:rsidR="000F768F">
          <w:rPr>
            <w:webHidden/>
          </w:rPr>
        </w:r>
        <w:r w:rsidR="000F768F">
          <w:rPr>
            <w:webHidden/>
          </w:rPr>
          <w:fldChar w:fldCharType="separate"/>
        </w:r>
        <w:r w:rsidR="004B30F2">
          <w:rPr>
            <w:webHidden/>
          </w:rPr>
          <w:t>16</w:t>
        </w:r>
        <w:r w:rsidR="000F768F">
          <w:rPr>
            <w:webHidden/>
          </w:rPr>
          <w:fldChar w:fldCharType="end"/>
        </w:r>
      </w:hyperlink>
    </w:p>
    <w:p w:rsidR="00460F68" w:rsidRDefault="00430DFB">
      <w:pPr>
        <w:pStyle w:val="TOC2"/>
        <w:rPr>
          <w:rFonts w:ascii="Calibri" w:hAnsi="Calibri" w:cs="Times New Roman"/>
          <w:sz w:val="22"/>
          <w:szCs w:val="22"/>
        </w:rPr>
      </w:pPr>
      <w:hyperlink w:anchor="_Toc285015574" w:history="1">
        <w:r w:rsidR="00460F68" w:rsidRPr="00625586">
          <w:rPr>
            <w:rStyle w:val="Hyperlink"/>
          </w:rPr>
          <w:t>Public Participation</w:t>
        </w:r>
        <w:r w:rsidR="00460F68">
          <w:rPr>
            <w:webHidden/>
          </w:rPr>
          <w:tab/>
        </w:r>
        <w:r w:rsidR="000F768F">
          <w:rPr>
            <w:webHidden/>
          </w:rPr>
          <w:fldChar w:fldCharType="begin"/>
        </w:r>
        <w:r w:rsidR="00460F68">
          <w:rPr>
            <w:webHidden/>
          </w:rPr>
          <w:instrText xml:space="preserve"> PAGEREF _Toc285015574 \h </w:instrText>
        </w:r>
        <w:r w:rsidR="000F768F">
          <w:rPr>
            <w:webHidden/>
          </w:rPr>
        </w:r>
        <w:r w:rsidR="000F768F">
          <w:rPr>
            <w:webHidden/>
          </w:rPr>
          <w:fldChar w:fldCharType="separate"/>
        </w:r>
        <w:r w:rsidR="004B30F2">
          <w:rPr>
            <w:webHidden/>
          </w:rPr>
          <w:t>17</w:t>
        </w:r>
        <w:r w:rsidR="000F768F">
          <w:rPr>
            <w:webHidden/>
          </w:rPr>
          <w:fldChar w:fldCharType="end"/>
        </w:r>
      </w:hyperlink>
    </w:p>
    <w:p w:rsidR="00460F68" w:rsidRDefault="00430DFB">
      <w:pPr>
        <w:pStyle w:val="TOC2"/>
        <w:rPr>
          <w:rFonts w:ascii="Calibri" w:hAnsi="Calibri" w:cs="Times New Roman"/>
          <w:sz w:val="22"/>
          <w:szCs w:val="22"/>
        </w:rPr>
      </w:pPr>
      <w:hyperlink w:anchor="_Toc285015575" w:history="1">
        <w:r w:rsidR="00460F68" w:rsidRPr="00625586">
          <w:rPr>
            <w:rStyle w:val="Hyperlink"/>
          </w:rPr>
          <w:t>CSO Volume</w:t>
        </w:r>
        <w:r w:rsidR="00460F68">
          <w:rPr>
            <w:webHidden/>
          </w:rPr>
          <w:tab/>
        </w:r>
        <w:r w:rsidR="000F768F">
          <w:rPr>
            <w:webHidden/>
          </w:rPr>
          <w:fldChar w:fldCharType="begin"/>
        </w:r>
        <w:r w:rsidR="00460F68">
          <w:rPr>
            <w:webHidden/>
          </w:rPr>
          <w:instrText xml:space="preserve"> PAGEREF _Toc285015575 \h </w:instrText>
        </w:r>
        <w:r w:rsidR="000F768F">
          <w:rPr>
            <w:webHidden/>
          </w:rPr>
        </w:r>
        <w:r w:rsidR="000F768F">
          <w:rPr>
            <w:webHidden/>
          </w:rPr>
          <w:fldChar w:fldCharType="separate"/>
        </w:r>
        <w:r w:rsidR="004B30F2">
          <w:rPr>
            <w:webHidden/>
          </w:rPr>
          <w:t>19</w:t>
        </w:r>
        <w:r w:rsidR="000F768F">
          <w:rPr>
            <w:webHidden/>
          </w:rPr>
          <w:fldChar w:fldCharType="end"/>
        </w:r>
      </w:hyperlink>
    </w:p>
    <w:p w:rsidR="00460F68" w:rsidRDefault="00430DFB">
      <w:pPr>
        <w:pStyle w:val="TOC2"/>
        <w:rPr>
          <w:rFonts w:ascii="Calibri" w:hAnsi="Calibri" w:cs="Times New Roman"/>
          <w:sz w:val="22"/>
          <w:szCs w:val="22"/>
        </w:rPr>
      </w:pPr>
      <w:hyperlink w:anchor="_Toc285015576" w:history="1">
        <w:r w:rsidR="00460F68" w:rsidRPr="00625586">
          <w:rPr>
            <w:rStyle w:val="Hyperlink"/>
          </w:rPr>
          <w:t>Evaluation of CSO Controls</w:t>
        </w:r>
        <w:r w:rsidR="00460F68">
          <w:rPr>
            <w:webHidden/>
          </w:rPr>
          <w:tab/>
        </w:r>
        <w:r w:rsidR="000F768F">
          <w:rPr>
            <w:webHidden/>
          </w:rPr>
          <w:fldChar w:fldCharType="begin"/>
        </w:r>
        <w:r w:rsidR="00460F68">
          <w:rPr>
            <w:webHidden/>
          </w:rPr>
          <w:instrText xml:space="preserve"> PAGEREF _Toc285015576 \h </w:instrText>
        </w:r>
        <w:r w:rsidR="000F768F">
          <w:rPr>
            <w:webHidden/>
          </w:rPr>
        </w:r>
        <w:r w:rsidR="000F768F">
          <w:rPr>
            <w:webHidden/>
          </w:rPr>
          <w:fldChar w:fldCharType="separate"/>
        </w:r>
        <w:r w:rsidR="004B30F2">
          <w:rPr>
            <w:webHidden/>
          </w:rPr>
          <w:t>19</w:t>
        </w:r>
        <w:r w:rsidR="000F768F">
          <w:rPr>
            <w:webHidden/>
          </w:rPr>
          <w:fldChar w:fldCharType="end"/>
        </w:r>
      </w:hyperlink>
    </w:p>
    <w:p w:rsidR="00460F68" w:rsidRDefault="00430DFB">
      <w:pPr>
        <w:pStyle w:val="TOC2"/>
        <w:rPr>
          <w:rFonts w:ascii="Calibri" w:hAnsi="Calibri" w:cs="Times New Roman"/>
          <w:sz w:val="22"/>
          <w:szCs w:val="22"/>
        </w:rPr>
      </w:pPr>
      <w:hyperlink w:anchor="_Toc285015577" w:history="1">
        <w:r w:rsidR="00460F68" w:rsidRPr="00625586">
          <w:rPr>
            <w:rStyle w:val="Hyperlink"/>
          </w:rPr>
          <w:t>Financial Capability</w:t>
        </w:r>
        <w:r w:rsidR="00460F68">
          <w:rPr>
            <w:webHidden/>
          </w:rPr>
          <w:tab/>
        </w:r>
        <w:r w:rsidR="000F768F">
          <w:rPr>
            <w:webHidden/>
          </w:rPr>
          <w:fldChar w:fldCharType="begin"/>
        </w:r>
        <w:r w:rsidR="00460F68">
          <w:rPr>
            <w:webHidden/>
          </w:rPr>
          <w:instrText xml:space="preserve"> PAGEREF _Toc285015577 \h </w:instrText>
        </w:r>
        <w:r w:rsidR="000F768F">
          <w:rPr>
            <w:webHidden/>
          </w:rPr>
        </w:r>
        <w:r w:rsidR="000F768F">
          <w:rPr>
            <w:webHidden/>
          </w:rPr>
          <w:fldChar w:fldCharType="separate"/>
        </w:r>
        <w:r w:rsidR="004B30F2">
          <w:rPr>
            <w:webHidden/>
          </w:rPr>
          <w:t>19</w:t>
        </w:r>
        <w:r w:rsidR="000F768F">
          <w:rPr>
            <w:webHidden/>
          </w:rPr>
          <w:fldChar w:fldCharType="end"/>
        </w:r>
      </w:hyperlink>
    </w:p>
    <w:p w:rsidR="00460F68" w:rsidRDefault="00430DFB">
      <w:pPr>
        <w:pStyle w:val="TOC2"/>
        <w:rPr>
          <w:rFonts w:ascii="Calibri" w:hAnsi="Calibri" w:cs="Times New Roman"/>
          <w:sz w:val="22"/>
          <w:szCs w:val="22"/>
        </w:rPr>
      </w:pPr>
      <w:hyperlink w:anchor="_Toc285015578" w:history="1">
        <w:r w:rsidR="00460F68" w:rsidRPr="00625586">
          <w:rPr>
            <w:rStyle w:val="Hyperlink"/>
          </w:rPr>
          <w:t>Recommended CSO Control Plan</w:t>
        </w:r>
        <w:r w:rsidR="00460F68">
          <w:rPr>
            <w:webHidden/>
          </w:rPr>
          <w:tab/>
        </w:r>
        <w:r w:rsidR="000F768F">
          <w:rPr>
            <w:webHidden/>
          </w:rPr>
          <w:fldChar w:fldCharType="begin"/>
        </w:r>
        <w:r w:rsidR="00460F68">
          <w:rPr>
            <w:webHidden/>
          </w:rPr>
          <w:instrText xml:space="preserve"> PAGEREF _Toc285015578 \h </w:instrText>
        </w:r>
        <w:r w:rsidR="000F768F">
          <w:rPr>
            <w:webHidden/>
          </w:rPr>
        </w:r>
        <w:r w:rsidR="000F768F">
          <w:rPr>
            <w:webHidden/>
          </w:rPr>
          <w:fldChar w:fldCharType="separate"/>
        </w:r>
        <w:r w:rsidR="004B30F2">
          <w:rPr>
            <w:webHidden/>
          </w:rPr>
          <w:t>20</w:t>
        </w:r>
        <w:r w:rsidR="000F768F">
          <w:rPr>
            <w:webHidden/>
          </w:rPr>
          <w:fldChar w:fldCharType="end"/>
        </w:r>
      </w:hyperlink>
    </w:p>
    <w:p w:rsidR="00460F68" w:rsidRDefault="00430DFB">
      <w:pPr>
        <w:pStyle w:val="TOC1"/>
        <w:rPr>
          <w:rFonts w:ascii="Calibri" w:hAnsi="Calibri" w:cs="Times New Roman"/>
          <w:b w:val="0"/>
          <w:sz w:val="22"/>
          <w:szCs w:val="22"/>
        </w:rPr>
      </w:pPr>
      <w:hyperlink w:anchor="_Toc285015579" w:history="1">
        <w:r w:rsidR="00460F68" w:rsidRPr="00625586">
          <w:rPr>
            <w:rStyle w:val="Hyperlink"/>
          </w:rPr>
          <w:t>Instructions: Schedule 4 – CSO Volume</w:t>
        </w:r>
        <w:r w:rsidR="00460F68">
          <w:rPr>
            <w:webHidden/>
          </w:rPr>
          <w:tab/>
        </w:r>
        <w:r w:rsidR="000F768F">
          <w:rPr>
            <w:webHidden/>
          </w:rPr>
          <w:fldChar w:fldCharType="begin"/>
        </w:r>
        <w:r w:rsidR="00460F68">
          <w:rPr>
            <w:webHidden/>
          </w:rPr>
          <w:instrText xml:space="preserve"> PAGEREF _Toc285015579 \h </w:instrText>
        </w:r>
        <w:r w:rsidR="000F768F">
          <w:rPr>
            <w:webHidden/>
          </w:rPr>
        </w:r>
        <w:r w:rsidR="000F768F">
          <w:rPr>
            <w:webHidden/>
          </w:rPr>
          <w:fldChar w:fldCharType="separate"/>
        </w:r>
        <w:r w:rsidR="004B30F2">
          <w:rPr>
            <w:webHidden/>
          </w:rPr>
          <w:t>22</w:t>
        </w:r>
        <w:r w:rsidR="000F768F">
          <w:rPr>
            <w:webHidden/>
          </w:rPr>
          <w:fldChar w:fldCharType="end"/>
        </w:r>
      </w:hyperlink>
    </w:p>
    <w:p w:rsidR="00460F68" w:rsidRDefault="00430DFB">
      <w:pPr>
        <w:pStyle w:val="TOC2"/>
        <w:rPr>
          <w:rFonts w:ascii="Calibri" w:hAnsi="Calibri" w:cs="Times New Roman"/>
          <w:sz w:val="22"/>
          <w:szCs w:val="22"/>
        </w:rPr>
      </w:pPr>
      <w:hyperlink w:anchor="_Toc285015580" w:history="1">
        <w:r w:rsidR="00460F68" w:rsidRPr="00625586">
          <w:rPr>
            <w:rStyle w:val="Hyperlink"/>
          </w:rPr>
          <w:t>Introduction</w:t>
        </w:r>
        <w:r w:rsidR="00460F68">
          <w:rPr>
            <w:webHidden/>
          </w:rPr>
          <w:tab/>
        </w:r>
        <w:r w:rsidR="000F768F">
          <w:rPr>
            <w:webHidden/>
          </w:rPr>
          <w:fldChar w:fldCharType="begin"/>
        </w:r>
        <w:r w:rsidR="00460F68">
          <w:rPr>
            <w:webHidden/>
          </w:rPr>
          <w:instrText xml:space="preserve"> PAGEREF _Toc285015580 \h </w:instrText>
        </w:r>
        <w:r w:rsidR="000F768F">
          <w:rPr>
            <w:webHidden/>
          </w:rPr>
        </w:r>
        <w:r w:rsidR="000F768F">
          <w:rPr>
            <w:webHidden/>
          </w:rPr>
          <w:fldChar w:fldCharType="separate"/>
        </w:r>
        <w:r w:rsidR="004B30F2">
          <w:rPr>
            <w:webHidden/>
          </w:rPr>
          <w:t>22</w:t>
        </w:r>
        <w:r w:rsidR="000F768F">
          <w:rPr>
            <w:webHidden/>
          </w:rPr>
          <w:fldChar w:fldCharType="end"/>
        </w:r>
      </w:hyperlink>
    </w:p>
    <w:p w:rsidR="00460F68" w:rsidRDefault="00430DFB">
      <w:pPr>
        <w:pStyle w:val="TOC2"/>
        <w:rPr>
          <w:rFonts w:ascii="Calibri" w:hAnsi="Calibri" w:cs="Times New Roman"/>
          <w:sz w:val="22"/>
          <w:szCs w:val="22"/>
        </w:rPr>
      </w:pPr>
      <w:hyperlink w:anchor="_Toc285015581" w:history="1">
        <w:r w:rsidR="00460F68" w:rsidRPr="00625586">
          <w:rPr>
            <w:rStyle w:val="Hyperlink"/>
          </w:rPr>
          <w:t>Design Storm for Small Communities</w:t>
        </w:r>
        <w:r w:rsidR="00460F68">
          <w:rPr>
            <w:webHidden/>
          </w:rPr>
          <w:tab/>
        </w:r>
        <w:r w:rsidR="000F768F">
          <w:rPr>
            <w:webHidden/>
          </w:rPr>
          <w:fldChar w:fldCharType="begin"/>
        </w:r>
        <w:r w:rsidR="00460F68">
          <w:rPr>
            <w:webHidden/>
          </w:rPr>
          <w:instrText xml:space="preserve"> PAGEREF _Toc285015581 \h </w:instrText>
        </w:r>
        <w:r w:rsidR="000F768F">
          <w:rPr>
            <w:webHidden/>
          </w:rPr>
        </w:r>
        <w:r w:rsidR="000F768F">
          <w:rPr>
            <w:webHidden/>
          </w:rPr>
          <w:fldChar w:fldCharType="separate"/>
        </w:r>
        <w:r w:rsidR="004B30F2">
          <w:rPr>
            <w:webHidden/>
          </w:rPr>
          <w:t>22</w:t>
        </w:r>
        <w:r w:rsidR="000F768F">
          <w:rPr>
            <w:webHidden/>
          </w:rPr>
          <w:fldChar w:fldCharType="end"/>
        </w:r>
      </w:hyperlink>
    </w:p>
    <w:p w:rsidR="00460F68" w:rsidRDefault="00430DFB">
      <w:pPr>
        <w:pStyle w:val="TOC2"/>
        <w:rPr>
          <w:rFonts w:ascii="Calibri" w:hAnsi="Calibri" w:cs="Times New Roman"/>
          <w:sz w:val="22"/>
          <w:szCs w:val="22"/>
        </w:rPr>
      </w:pPr>
      <w:hyperlink w:anchor="_Toc285015582" w:history="1">
        <w:r w:rsidR="00460F68" w:rsidRPr="00625586">
          <w:rPr>
            <w:rStyle w:val="Hyperlink"/>
          </w:rPr>
          <w:t>The Rational Method</w:t>
        </w:r>
        <w:r w:rsidR="00460F68">
          <w:rPr>
            <w:webHidden/>
          </w:rPr>
          <w:tab/>
        </w:r>
        <w:r w:rsidR="000F768F">
          <w:rPr>
            <w:webHidden/>
          </w:rPr>
          <w:fldChar w:fldCharType="begin"/>
        </w:r>
        <w:r w:rsidR="00460F68">
          <w:rPr>
            <w:webHidden/>
          </w:rPr>
          <w:instrText xml:space="preserve"> PAGEREF _Toc285015582 \h </w:instrText>
        </w:r>
        <w:r w:rsidR="000F768F">
          <w:rPr>
            <w:webHidden/>
          </w:rPr>
        </w:r>
        <w:r w:rsidR="000F768F">
          <w:rPr>
            <w:webHidden/>
          </w:rPr>
          <w:fldChar w:fldCharType="separate"/>
        </w:r>
        <w:r w:rsidR="004B30F2">
          <w:rPr>
            <w:webHidden/>
          </w:rPr>
          <w:t>22</w:t>
        </w:r>
        <w:r w:rsidR="000F768F">
          <w:rPr>
            <w:webHidden/>
          </w:rPr>
          <w:fldChar w:fldCharType="end"/>
        </w:r>
      </w:hyperlink>
    </w:p>
    <w:p w:rsidR="00460F68" w:rsidRDefault="00430DFB">
      <w:pPr>
        <w:pStyle w:val="TOC2"/>
        <w:rPr>
          <w:rFonts w:ascii="Calibri" w:hAnsi="Calibri" w:cs="Times New Roman"/>
          <w:sz w:val="22"/>
          <w:szCs w:val="22"/>
        </w:rPr>
      </w:pPr>
      <w:hyperlink w:anchor="_Toc285015583" w:history="1">
        <w:r w:rsidR="00460F68" w:rsidRPr="00625586">
          <w:rPr>
            <w:rStyle w:val="Hyperlink"/>
          </w:rPr>
          <w:t>Calculation of CSO Volume</w:t>
        </w:r>
        <w:r w:rsidR="00460F68">
          <w:rPr>
            <w:webHidden/>
          </w:rPr>
          <w:tab/>
        </w:r>
        <w:r w:rsidR="000F768F">
          <w:rPr>
            <w:webHidden/>
          </w:rPr>
          <w:fldChar w:fldCharType="begin"/>
        </w:r>
        <w:r w:rsidR="00460F68">
          <w:rPr>
            <w:webHidden/>
          </w:rPr>
          <w:instrText xml:space="preserve"> PAGEREF _Toc285015583 \h </w:instrText>
        </w:r>
        <w:r w:rsidR="000F768F">
          <w:rPr>
            <w:webHidden/>
          </w:rPr>
        </w:r>
        <w:r w:rsidR="000F768F">
          <w:rPr>
            <w:webHidden/>
          </w:rPr>
          <w:fldChar w:fldCharType="separate"/>
        </w:r>
        <w:r w:rsidR="004B30F2">
          <w:rPr>
            <w:webHidden/>
          </w:rPr>
          <w:t>23</w:t>
        </w:r>
        <w:r w:rsidR="000F768F">
          <w:rPr>
            <w:webHidden/>
          </w:rPr>
          <w:fldChar w:fldCharType="end"/>
        </w:r>
      </w:hyperlink>
    </w:p>
    <w:p w:rsidR="00460F68" w:rsidRDefault="00430DFB">
      <w:pPr>
        <w:pStyle w:val="TOC2"/>
        <w:rPr>
          <w:rFonts w:ascii="Calibri" w:hAnsi="Calibri" w:cs="Times New Roman"/>
          <w:sz w:val="22"/>
          <w:szCs w:val="22"/>
        </w:rPr>
      </w:pPr>
      <w:hyperlink w:anchor="_Toc285015584" w:history="1">
        <w:r w:rsidR="00460F68" w:rsidRPr="00625586">
          <w:rPr>
            <w:rStyle w:val="Hyperlink"/>
          </w:rPr>
          <w:t>Summary</w:t>
        </w:r>
        <w:r w:rsidR="00460F68">
          <w:rPr>
            <w:webHidden/>
          </w:rPr>
          <w:tab/>
        </w:r>
        <w:r w:rsidR="000F768F">
          <w:rPr>
            <w:webHidden/>
          </w:rPr>
          <w:fldChar w:fldCharType="begin"/>
        </w:r>
        <w:r w:rsidR="00460F68">
          <w:rPr>
            <w:webHidden/>
          </w:rPr>
          <w:instrText xml:space="preserve"> PAGEREF _Toc285015584 \h </w:instrText>
        </w:r>
        <w:r w:rsidR="000F768F">
          <w:rPr>
            <w:webHidden/>
          </w:rPr>
        </w:r>
        <w:r w:rsidR="000F768F">
          <w:rPr>
            <w:webHidden/>
          </w:rPr>
          <w:fldChar w:fldCharType="separate"/>
        </w:r>
        <w:r w:rsidR="004B30F2">
          <w:rPr>
            <w:webHidden/>
          </w:rPr>
          <w:t>23</w:t>
        </w:r>
        <w:r w:rsidR="000F768F">
          <w:rPr>
            <w:webHidden/>
          </w:rPr>
          <w:fldChar w:fldCharType="end"/>
        </w:r>
      </w:hyperlink>
    </w:p>
    <w:p w:rsidR="00460F68" w:rsidRDefault="00430DFB">
      <w:pPr>
        <w:pStyle w:val="TOC2"/>
        <w:rPr>
          <w:rFonts w:ascii="Calibri" w:hAnsi="Calibri" w:cs="Times New Roman"/>
          <w:sz w:val="22"/>
          <w:szCs w:val="22"/>
        </w:rPr>
      </w:pPr>
      <w:hyperlink w:anchor="_Toc285015585" w:history="1">
        <w:r w:rsidR="00460F68" w:rsidRPr="00625586">
          <w:rPr>
            <w:rStyle w:val="Hyperlink"/>
          </w:rPr>
          <w:t>Sub-Sewershed Area</w:t>
        </w:r>
        <w:r w:rsidR="00460F68">
          <w:rPr>
            <w:webHidden/>
          </w:rPr>
          <w:tab/>
        </w:r>
        <w:r w:rsidR="000F768F">
          <w:rPr>
            <w:webHidden/>
          </w:rPr>
          <w:fldChar w:fldCharType="begin"/>
        </w:r>
        <w:r w:rsidR="00460F68">
          <w:rPr>
            <w:webHidden/>
          </w:rPr>
          <w:instrText xml:space="preserve"> PAGEREF _Toc285015585 \h </w:instrText>
        </w:r>
        <w:r w:rsidR="000F768F">
          <w:rPr>
            <w:webHidden/>
          </w:rPr>
        </w:r>
        <w:r w:rsidR="000F768F">
          <w:rPr>
            <w:webHidden/>
          </w:rPr>
          <w:fldChar w:fldCharType="separate"/>
        </w:r>
        <w:r w:rsidR="004B30F2">
          <w:rPr>
            <w:webHidden/>
          </w:rPr>
          <w:t>25</w:t>
        </w:r>
        <w:r w:rsidR="000F768F">
          <w:rPr>
            <w:webHidden/>
          </w:rPr>
          <w:fldChar w:fldCharType="end"/>
        </w:r>
      </w:hyperlink>
    </w:p>
    <w:p w:rsidR="00460F68" w:rsidRDefault="00430DFB">
      <w:pPr>
        <w:pStyle w:val="TOC2"/>
        <w:rPr>
          <w:rFonts w:ascii="Calibri" w:hAnsi="Calibri" w:cs="Times New Roman"/>
          <w:sz w:val="22"/>
          <w:szCs w:val="22"/>
        </w:rPr>
      </w:pPr>
      <w:hyperlink w:anchor="_Toc285015586" w:history="1">
        <w:r w:rsidR="00460F68" w:rsidRPr="00625586">
          <w:rPr>
            <w:rStyle w:val="Hyperlink"/>
          </w:rPr>
          <w:t>Runoff</w:t>
        </w:r>
        <w:r w:rsidR="00460F68">
          <w:rPr>
            <w:webHidden/>
          </w:rPr>
          <w:tab/>
        </w:r>
        <w:r w:rsidR="000F768F">
          <w:rPr>
            <w:webHidden/>
          </w:rPr>
          <w:fldChar w:fldCharType="begin"/>
        </w:r>
        <w:r w:rsidR="00460F68">
          <w:rPr>
            <w:webHidden/>
          </w:rPr>
          <w:instrText xml:space="preserve"> PAGEREF _Toc285015586 \h </w:instrText>
        </w:r>
        <w:r w:rsidR="000F768F">
          <w:rPr>
            <w:webHidden/>
          </w:rPr>
        </w:r>
        <w:r w:rsidR="000F768F">
          <w:rPr>
            <w:webHidden/>
          </w:rPr>
          <w:fldChar w:fldCharType="separate"/>
        </w:r>
        <w:r w:rsidR="004B30F2">
          <w:rPr>
            <w:webHidden/>
          </w:rPr>
          <w:t>25</w:t>
        </w:r>
        <w:r w:rsidR="000F768F">
          <w:rPr>
            <w:webHidden/>
          </w:rPr>
          <w:fldChar w:fldCharType="end"/>
        </w:r>
      </w:hyperlink>
    </w:p>
    <w:p w:rsidR="00460F68" w:rsidRDefault="00430DFB">
      <w:pPr>
        <w:pStyle w:val="TOC2"/>
        <w:rPr>
          <w:rFonts w:ascii="Calibri" w:hAnsi="Calibri" w:cs="Times New Roman"/>
          <w:sz w:val="22"/>
          <w:szCs w:val="22"/>
        </w:rPr>
      </w:pPr>
      <w:hyperlink w:anchor="_Toc285015587" w:history="1">
        <w:r w:rsidR="00460F68" w:rsidRPr="00625586">
          <w:rPr>
            <w:rStyle w:val="Hyperlink"/>
          </w:rPr>
          <w:t>Dry-Weather Flow within the CSS</w:t>
        </w:r>
        <w:r w:rsidR="00460F68">
          <w:rPr>
            <w:webHidden/>
          </w:rPr>
          <w:tab/>
        </w:r>
        <w:r w:rsidR="000F768F">
          <w:rPr>
            <w:webHidden/>
          </w:rPr>
          <w:fldChar w:fldCharType="begin"/>
        </w:r>
        <w:r w:rsidR="00460F68">
          <w:rPr>
            <w:webHidden/>
          </w:rPr>
          <w:instrText xml:space="preserve"> PAGEREF _Toc285015587 \h </w:instrText>
        </w:r>
        <w:r w:rsidR="000F768F">
          <w:rPr>
            <w:webHidden/>
          </w:rPr>
        </w:r>
        <w:r w:rsidR="000F768F">
          <w:rPr>
            <w:webHidden/>
          </w:rPr>
          <w:fldChar w:fldCharType="separate"/>
        </w:r>
        <w:r w:rsidR="004B30F2">
          <w:rPr>
            <w:webHidden/>
          </w:rPr>
          <w:t>26</w:t>
        </w:r>
        <w:r w:rsidR="000F768F">
          <w:rPr>
            <w:webHidden/>
          </w:rPr>
          <w:fldChar w:fldCharType="end"/>
        </w:r>
      </w:hyperlink>
    </w:p>
    <w:p w:rsidR="00460F68" w:rsidRDefault="00430DFB">
      <w:pPr>
        <w:pStyle w:val="TOC2"/>
        <w:rPr>
          <w:rFonts w:ascii="Calibri" w:hAnsi="Calibri" w:cs="Times New Roman"/>
          <w:sz w:val="22"/>
          <w:szCs w:val="22"/>
        </w:rPr>
      </w:pPr>
      <w:hyperlink w:anchor="_Toc285015588" w:history="1">
        <w:r w:rsidR="00460F68" w:rsidRPr="00625586">
          <w:rPr>
            <w:rStyle w:val="Hyperlink"/>
          </w:rPr>
          <w:t>Peak Wet-Weather Flow</w:t>
        </w:r>
        <w:r w:rsidR="00460F68">
          <w:rPr>
            <w:webHidden/>
          </w:rPr>
          <w:tab/>
        </w:r>
        <w:r w:rsidR="000F768F">
          <w:rPr>
            <w:webHidden/>
          </w:rPr>
          <w:fldChar w:fldCharType="begin"/>
        </w:r>
        <w:r w:rsidR="00460F68">
          <w:rPr>
            <w:webHidden/>
          </w:rPr>
          <w:instrText xml:space="preserve"> PAGEREF _Toc285015588 \h </w:instrText>
        </w:r>
        <w:r w:rsidR="000F768F">
          <w:rPr>
            <w:webHidden/>
          </w:rPr>
        </w:r>
        <w:r w:rsidR="000F768F">
          <w:rPr>
            <w:webHidden/>
          </w:rPr>
          <w:fldChar w:fldCharType="separate"/>
        </w:r>
        <w:r w:rsidR="004B30F2">
          <w:rPr>
            <w:webHidden/>
          </w:rPr>
          <w:t>26</w:t>
        </w:r>
        <w:r w:rsidR="000F768F">
          <w:rPr>
            <w:webHidden/>
          </w:rPr>
          <w:fldChar w:fldCharType="end"/>
        </w:r>
      </w:hyperlink>
    </w:p>
    <w:p w:rsidR="00460F68" w:rsidRDefault="00430DFB">
      <w:pPr>
        <w:pStyle w:val="TOC2"/>
        <w:rPr>
          <w:rFonts w:ascii="Calibri" w:hAnsi="Calibri" w:cs="Times New Roman"/>
          <w:sz w:val="22"/>
          <w:szCs w:val="22"/>
        </w:rPr>
      </w:pPr>
      <w:hyperlink w:anchor="_Toc285015589" w:history="1">
        <w:r w:rsidR="00460F68" w:rsidRPr="00625586">
          <w:rPr>
            <w:rStyle w:val="Hyperlink"/>
          </w:rPr>
          <w:t>Overflow</w:t>
        </w:r>
        <w:r w:rsidR="00460F68">
          <w:rPr>
            <w:webHidden/>
          </w:rPr>
          <w:tab/>
        </w:r>
        <w:r w:rsidR="000F768F">
          <w:rPr>
            <w:webHidden/>
          </w:rPr>
          <w:fldChar w:fldCharType="begin"/>
        </w:r>
        <w:r w:rsidR="00460F68">
          <w:rPr>
            <w:webHidden/>
          </w:rPr>
          <w:instrText xml:space="preserve"> PAGEREF _Toc285015589 \h </w:instrText>
        </w:r>
        <w:r w:rsidR="000F768F">
          <w:rPr>
            <w:webHidden/>
          </w:rPr>
        </w:r>
        <w:r w:rsidR="000F768F">
          <w:rPr>
            <w:webHidden/>
          </w:rPr>
          <w:fldChar w:fldCharType="separate"/>
        </w:r>
        <w:r w:rsidR="004B30F2">
          <w:rPr>
            <w:webHidden/>
          </w:rPr>
          <w:t>26</w:t>
        </w:r>
        <w:r w:rsidR="000F768F">
          <w:rPr>
            <w:webHidden/>
          </w:rPr>
          <w:fldChar w:fldCharType="end"/>
        </w:r>
      </w:hyperlink>
    </w:p>
    <w:p w:rsidR="00460F68" w:rsidRDefault="00430DFB">
      <w:pPr>
        <w:pStyle w:val="TOC2"/>
        <w:rPr>
          <w:rFonts w:ascii="Calibri" w:hAnsi="Calibri" w:cs="Times New Roman"/>
          <w:sz w:val="22"/>
          <w:szCs w:val="22"/>
        </w:rPr>
      </w:pPr>
      <w:hyperlink w:anchor="_Toc285015590" w:history="1">
        <w:r w:rsidR="00460F68" w:rsidRPr="00625586">
          <w:rPr>
            <w:rStyle w:val="Hyperlink"/>
          </w:rPr>
          <w:t>Diversion</w:t>
        </w:r>
        <w:r w:rsidR="00460F68">
          <w:rPr>
            <w:webHidden/>
          </w:rPr>
          <w:tab/>
        </w:r>
        <w:r w:rsidR="000F768F">
          <w:rPr>
            <w:webHidden/>
          </w:rPr>
          <w:fldChar w:fldCharType="begin"/>
        </w:r>
        <w:r w:rsidR="00460F68">
          <w:rPr>
            <w:webHidden/>
          </w:rPr>
          <w:instrText xml:space="preserve"> PAGEREF _Toc285015590 \h </w:instrText>
        </w:r>
        <w:r w:rsidR="000F768F">
          <w:rPr>
            <w:webHidden/>
          </w:rPr>
        </w:r>
        <w:r w:rsidR="000F768F">
          <w:rPr>
            <w:webHidden/>
          </w:rPr>
          <w:fldChar w:fldCharType="separate"/>
        </w:r>
        <w:r w:rsidR="004B30F2">
          <w:rPr>
            <w:webHidden/>
          </w:rPr>
          <w:t>27</w:t>
        </w:r>
        <w:r w:rsidR="000F768F">
          <w:rPr>
            <w:webHidden/>
          </w:rPr>
          <w:fldChar w:fldCharType="end"/>
        </w:r>
      </w:hyperlink>
    </w:p>
    <w:p w:rsidR="00460F68" w:rsidRDefault="00430DFB">
      <w:pPr>
        <w:pStyle w:val="TOC2"/>
        <w:rPr>
          <w:rFonts w:ascii="Calibri" w:hAnsi="Calibri" w:cs="Times New Roman"/>
          <w:sz w:val="22"/>
          <w:szCs w:val="22"/>
        </w:rPr>
      </w:pPr>
      <w:hyperlink w:anchor="_Toc285015591" w:history="1">
        <w:r w:rsidR="00460F68" w:rsidRPr="00625586">
          <w:rPr>
            <w:rStyle w:val="Hyperlink"/>
          </w:rPr>
          <w:t>Conveyance</w:t>
        </w:r>
        <w:r w:rsidR="00460F68">
          <w:rPr>
            <w:webHidden/>
          </w:rPr>
          <w:tab/>
        </w:r>
        <w:r w:rsidR="000F768F">
          <w:rPr>
            <w:webHidden/>
          </w:rPr>
          <w:fldChar w:fldCharType="begin"/>
        </w:r>
        <w:r w:rsidR="00460F68">
          <w:rPr>
            <w:webHidden/>
          </w:rPr>
          <w:instrText xml:space="preserve"> PAGEREF _Toc285015591 \h </w:instrText>
        </w:r>
        <w:r w:rsidR="000F768F">
          <w:rPr>
            <w:webHidden/>
          </w:rPr>
        </w:r>
        <w:r w:rsidR="000F768F">
          <w:rPr>
            <w:webHidden/>
          </w:rPr>
          <w:fldChar w:fldCharType="separate"/>
        </w:r>
        <w:r w:rsidR="004B30F2">
          <w:rPr>
            <w:webHidden/>
          </w:rPr>
          <w:t>27</w:t>
        </w:r>
        <w:r w:rsidR="000F768F">
          <w:rPr>
            <w:webHidden/>
          </w:rPr>
          <w:fldChar w:fldCharType="end"/>
        </w:r>
      </w:hyperlink>
    </w:p>
    <w:p w:rsidR="00460F68" w:rsidRDefault="00430DFB">
      <w:pPr>
        <w:pStyle w:val="TOC2"/>
        <w:rPr>
          <w:rFonts w:ascii="Calibri" w:hAnsi="Calibri" w:cs="Times New Roman"/>
          <w:sz w:val="22"/>
          <w:szCs w:val="22"/>
        </w:rPr>
      </w:pPr>
      <w:hyperlink w:anchor="_Toc285015592" w:history="1">
        <w:r w:rsidR="00460F68" w:rsidRPr="00625586">
          <w:rPr>
            <w:rStyle w:val="Hyperlink"/>
          </w:rPr>
          <w:t>Treatment</w:t>
        </w:r>
        <w:r w:rsidR="00460F68">
          <w:rPr>
            <w:webHidden/>
          </w:rPr>
          <w:tab/>
        </w:r>
        <w:r w:rsidR="000F768F">
          <w:rPr>
            <w:webHidden/>
          </w:rPr>
          <w:fldChar w:fldCharType="begin"/>
        </w:r>
        <w:r w:rsidR="00460F68">
          <w:rPr>
            <w:webHidden/>
          </w:rPr>
          <w:instrText xml:space="preserve"> PAGEREF _Toc285015592 \h </w:instrText>
        </w:r>
        <w:r w:rsidR="000F768F">
          <w:rPr>
            <w:webHidden/>
          </w:rPr>
        </w:r>
        <w:r w:rsidR="000F768F">
          <w:rPr>
            <w:webHidden/>
          </w:rPr>
          <w:fldChar w:fldCharType="separate"/>
        </w:r>
        <w:r w:rsidR="004B30F2">
          <w:rPr>
            <w:webHidden/>
          </w:rPr>
          <w:t>28</w:t>
        </w:r>
        <w:r w:rsidR="000F768F">
          <w:rPr>
            <w:webHidden/>
          </w:rPr>
          <w:fldChar w:fldCharType="end"/>
        </w:r>
      </w:hyperlink>
    </w:p>
    <w:p w:rsidR="00460F68" w:rsidRDefault="00430DFB">
      <w:pPr>
        <w:pStyle w:val="TOC2"/>
        <w:rPr>
          <w:rFonts w:ascii="Calibri" w:hAnsi="Calibri" w:cs="Times New Roman"/>
          <w:sz w:val="22"/>
          <w:szCs w:val="22"/>
        </w:rPr>
      </w:pPr>
      <w:hyperlink w:anchor="_Toc285015593" w:history="1">
        <w:r w:rsidR="00460F68" w:rsidRPr="00625586">
          <w:rPr>
            <w:rStyle w:val="Hyperlink"/>
          </w:rPr>
          <w:t>CSO Volume</w:t>
        </w:r>
        <w:r w:rsidR="00460F68">
          <w:rPr>
            <w:webHidden/>
          </w:rPr>
          <w:tab/>
        </w:r>
        <w:r w:rsidR="000F768F">
          <w:rPr>
            <w:webHidden/>
          </w:rPr>
          <w:fldChar w:fldCharType="begin"/>
        </w:r>
        <w:r w:rsidR="00460F68">
          <w:rPr>
            <w:webHidden/>
          </w:rPr>
          <w:instrText xml:space="preserve"> PAGEREF _Toc285015593 \h </w:instrText>
        </w:r>
        <w:r w:rsidR="000F768F">
          <w:rPr>
            <w:webHidden/>
          </w:rPr>
        </w:r>
        <w:r w:rsidR="000F768F">
          <w:rPr>
            <w:webHidden/>
          </w:rPr>
          <w:fldChar w:fldCharType="separate"/>
        </w:r>
        <w:r w:rsidR="004B30F2">
          <w:rPr>
            <w:webHidden/>
          </w:rPr>
          <w:t>29</w:t>
        </w:r>
        <w:r w:rsidR="000F768F">
          <w:rPr>
            <w:webHidden/>
          </w:rPr>
          <w:fldChar w:fldCharType="end"/>
        </w:r>
      </w:hyperlink>
    </w:p>
    <w:p w:rsidR="00460F68" w:rsidRDefault="00430DFB">
      <w:pPr>
        <w:pStyle w:val="TOC1"/>
        <w:rPr>
          <w:rFonts w:ascii="Calibri" w:hAnsi="Calibri" w:cs="Times New Roman"/>
          <w:b w:val="0"/>
          <w:sz w:val="22"/>
          <w:szCs w:val="22"/>
        </w:rPr>
      </w:pPr>
      <w:hyperlink w:anchor="_Toc285015594" w:history="1">
        <w:r w:rsidR="00460F68" w:rsidRPr="00625586">
          <w:rPr>
            <w:rStyle w:val="Hyperlink"/>
          </w:rPr>
          <w:t>Instructions: Schedule 5A – CSO Runoff Control (Green Infrastructure Runoff Controls)</w:t>
        </w:r>
        <w:r w:rsidR="00460F68">
          <w:rPr>
            <w:webHidden/>
          </w:rPr>
          <w:tab/>
        </w:r>
        <w:r w:rsidR="000F768F">
          <w:rPr>
            <w:webHidden/>
          </w:rPr>
          <w:fldChar w:fldCharType="begin"/>
        </w:r>
        <w:r w:rsidR="00460F68">
          <w:rPr>
            <w:webHidden/>
          </w:rPr>
          <w:instrText xml:space="preserve"> PAGEREF _Toc285015594 \h </w:instrText>
        </w:r>
        <w:r w:rsidR="000F768F">
          <w:rPr>
            <w:webHidden/>
          </w:rPr>
        </w:r>
        <w:r w:rsidR="000F768F">
          <w:rPr>
            <w:webHidden/>
          </w:rPr>
          <w:fldChar w:fldCharType="separate"/>
        </w:r>
        <w:r w:rsidR="004B30F2">
          <w:rPr>
            <w:webHidden/>
          </w:rPr>
          <w:t>30</w:t>
        </w:r>
        <w:r w:rsidR="000F768F">
          <w:rPr>
            <w:webHidden/>
          </w:rPr>
          <w:fldChar w:fldCharType="end"/>
        </w:r>
      </w:hyperlink>
    </w:p>
    <w:p w:rsidR="00460F68" w:rsidRDefault="00430DFB">
      <w:pPr>
        <w:pStyle w:val="TOC2"/>
        <w:rPr>
          <w:rFonts w:ascii="Calibri" w:hAnsi="Calibri" w:cs="Times New Roman"/>
          <w:sz w:val="22"/>
          <w:szCs w:val="22"/>
        </w:rPr>
      </w:pPr>
      <w:hyperlink w:anchor="_Toc285015595" w:history="1">
        <w:r w:rsidR="00460F68" w:rsidRPr="00625586">
          <w:rPr>
            <w:rStyle w:val="Hyperlink"/>
          </w:rPr>
          <w:t>Runoff Reduction via On-site Runoff Retention Standard or Goal</w:t>
        </w:r>
        <w:r w:rsidR="00460F68">
          <w:rPr>
            <w:webHidden/>
          </w:rPr>
          <w:tab/>
        </w:r>
        <w:r w:rsidR="000F768F">
          <w:rPr>
            <w:webHidden/>
          </w:rPr>
          <w:fldChar w:fldCharType="begin"/>
        </w:r>
        <w:r w:rsidR="00460F68">
          <w:rPr>
            <w:webHidden/>
          </w:rPr>
          <w:instrText xml:space="preserve"> PAGEREF _Toc285015595 \h </w:instrText>
        </w:r>
        <w:r w:rsidR="000F768F">
          <w:rPr>
            <w:webHidden/>
          </w:rPr>
        </w:r>
        <w:r w:rsidR="000F768F">
          <w:rPr>
            <w:webHidden/>
          </w:rPr>
          <w:fldChar w:fldCharType="separate"/>
        </w:r>
        <w:r w:rsidR="004B30F2">
          <w:rPr>
            <w:webHidden/>
          </w:rPr>
          <w:t>30</w:t>
        </w:r>
        <w:r w:rsidR="000F768F">
          <w:rPr>
            <w:webHidden/>
          </w:rPr>
          <w:fldChar w:fldCharType="end"/>
        </w:r>
      </w:hyperlink>
    </w:p>
    <w:p w:rsidR="00460F68" w:rsidRDefault="00430DFB">
      <w:pPr>
        <w:pStyle w:val="TOC2"/>
        <w:rPr>
          <w:rFonts w:ascii="Calibri" w:hAnsi="Calibri" w:cs="Times New Roman"/>
          <w:sz w:val="22"/>
          <w:szCs w:val="22"/>
        </w:rPr>
      </w:pPr>
      <w:hyperlink w:anchor="_Toc285015596" w:history="1">
        <w:r w:rsidR="00460F68" w:rsidRPr="00625586">
          <w:rPr>
            <w:rStyle w:val="Hyperlink"/>
          </w:rPr>
          <w:t>Runoff Reduction via Specific Green Infrastructure Practices</w:t>
        </w:r>
        <w:r w:rsidR="00460F68">
          <w:rPr>
            <w:webHidden/>
          </w:rPr>
          <w:tab/>
        </w:r>
        <w:r w:rsidR="000F768F">
          <w:rPr>
            <w:webHidden/>
          </w:rPr>
          <w:fldChar w:fldCharType="begin"/>
        </w:r>
        <w:r w:rsidR="00460F68">
          <w:rPr>
            <w:webHidden/>
          </w:rPr>
          <w:instrText xml:space="preserve"> PAGEREF _Toc285015596 \h </w:instrText>
        </w:r>
        <w:r w:rsidR="000F768F">
          <w:rPr>
            <w:webHidden/>
          </w:rPr>
        </w:r>
        <w:r w:rsidR="000F768F">
          <w:rPr>
            <w:webHidden/>
          </w:rPr>
          <w:fldChar w:fldCharType="separate"/>
        </w:r>
        <w:r w:rsidR="004B30F2">
          <w:rPr>
            <w:webHidden/>
          </w:rPr>
          <w:t>32</w:t>
        </w:r>
        <w:r w:rsidR="000F768F">
          <w:rPr>
            <w:webHidden/>
          </w:rPr>
          <w:fldChar w:fldCharType="end"/>
        </w:r>
      </w:hyperlink>
    </w:p>
    <w:p w:rsidR="00460F68" w:rsidRDefault="00430DFB">
      <w:pPr>
        <w:pStyle w:val="TOC2"/>
        <w:rPr>
          <w:rFonts w:ascii="Calibri" w:hAnsi="Calibri" w:cs="Times New Roman"/>
          <w:sz w:val="22"/>
          <w:szCs w:val="22"/>
        </w:rPr>
      </w:pPr>
      <w:hyperlink w:anchor="_Toc285015597" w:history="1">
        <w:r w:rsidR="00460F68" w:rsidRPr="00625586">
          <w:rPr>
            <w:rStyle w:val="Hyperlink"/>
          </w:rPr>
          <w:t>Recalculating CSO Volume</w:t>
        </w:r>
        <w:r w:rsidR="00460F68">
          <w:rPr>
            <w:webHidden/>
          </w:rPr>
          <w:tab/>
        </w:r>
        <w:r w:rsidR="000F768F">
          <w:rPr>
            <w:webHidden/>
          </w:rPr>
          <w:fldChar w:fldCharType="begin"/>
        </w:r>
        <w:r w:rsidR="00460F68">
          <w:rPr>
            <w:webHidden/>
          </w:rPr>
          <w:instrText xml:space="preserve"> PAGEREF _Toc285015597 \h </w:instrText>
        </w:r>
        <w:r w:rsidR="000F768F">
          <w:rPr>
            <w:webHidden/>
          </w:rPr>
        </w:r>
        <w:r w:rsidR="000F768F">
          <w:rPr>
            <w:webHidden/>
          </w:rPr>
          <w:fldChar w:fldCharType="separate"/>
        </w:r>
        <w:r w:rsidR="004B30F2">
          <w:rPr>
            <w:webHidden/>
          </w:rPr>
          <w:t>32</w:t>
        </w:r>
        <w:r w:rsidR="000F768F">
          <w:rPr>
            <w:webHidden/>
          </w:rPr>
          <w:fldChar w:fldCharType="end"/>
        </w:r>
      </w:hyperlink>
    </w:p>
    <w:p w:rsidR="00460F68" w:rsidRDefault="00430DFB">
      <w:pPr>
        <w:pStyle w:val="TOC2"/>
        <w:rPr>
          <w:rFonts w:ascii="Calibri" w:hAnsi="Calibri" w:cs="Times New Roman"/>
          <w:sz w:val="22"/>
          <w:szCs w:val="22"/>
        </w:rPr>
      </w:pPr>
      <w:hyperlink w:anchor="_Toc285015598" w:history="1">
        <w:r w:rsidR="00460F68" w:rsidRPr="00625586">
          <w:rPr>
            <w:rStyle w:val="Hyperlink"/>
          </w:rPr>
          <w:t>Impervious Area</w:t>
        </w:r>
        <w:r w:rsidR="00460F68">
          <w:rPr>
            <w:webHidden/>
          </w:rPr>
          <w:tab/>
        </w:r>
        <w:r w:rsidR="000F768F">
          <w:rPr>
            <w:webHidden/>
          </w:rPr>
          <w:fldChar w:fldCharType="begin"/>
        </w:r>
        <w:r w:rsidR="00460F68">
          <w:rPr>
            <w:webHidden/>
          </w:rPr>
          <w:instrText xml:space="preserve"> PAGEREF _Toc285015598 \h </w:instrText>
        </w:r>
        <w:r w:rsidR="000F768F">
          <w:rPr>
            <w:webHidden/>
          </w:rPr>
        </w:r>
        <w:r w:rsidR="000F768F">
          <w:rPr>
            <w:webHidden/>
          </w:rPr>
          <w:fldChar w:fldCharType="separate"/>
        </w:r>
        <w:r w:rsidR="004B30F2">
          <w:rPr>
            <w:webHidden/>
          </w:rPr>
          <w:t>33</w:t>
        </w:r>
        <w:r w:rsidR="000F768F">
          <w:rPr>
            <w:webHidden/>
          </w:rPr>
          <w:fldChar w:fldCharType="end"/>
        </w:r>
      </w:hyperlink>
    </w:p>
    <w:p w:rsidR="00460F68" w:rsidRDefault="00430DFB">
      <w:pPr>
        <w:pStyle w:val="TOC2"/>
        <w:rPr>
          <w:rFonts w:ascii="Calibri" w:hAnsi="Calibri" w:cs="Times New Roman"/>
          <w:sz w:val="22"/>
          <w:szCs w:val="22"/>
        </w:rPr>
      </w:pPr>
      <w:hyperlink w:anchor="_Toc285015599" w:history="1">
        <w:r w:rsidR="00460F68" w:rsidRPr="00625586">
          <w:rPr>
            <w:rStyle w:val="Hyperlink"/>
          </w:rPr>
          <w:t>Retention Standard or Goal</w:t>
        </w:r>
        <w:r w:rsidR="00460F68">
          <w:rPr>
            <w:webHidden/>
          </w:rPr>
          <w:tab/>
        </w:r>
        <w:r w:rsidR="000F768F">
          <w:rPr>
            <w:webHidden/>
          </w:rPr>
          <w:fldChar w:fldCharType="begin"/>
        </w:r>
        <w:r w:rsidR="00460F68">
          <w:rPr>
            <w:webHidden/>
          </w:rPr>
          <w:instrText xml:space="preserve"> PAGEREF _Toc285015599 \h </w:instrText>
        </w:r>
        <w:r w:rsidR="000F768F">
          <w:rPr>
            <w:webHidden/>
          </w:rPr>
        </w:r>
        <w:r w:rsidR="000F768F">
          <w:rPr>
            <w:webHidden/>
          </w:rPr>
          <w:fldChar w:fldCharType="separate"/>
        </w:r>
        <w:r w:rsidR="004B30F2">
          <w:rPr>
            <w:webHidden/>
          </w:rPr>
          <w:t>33</w:t>
        </w:r>
        <w:r w:rsidR="000F768F">
          <w:rPr>
            <w:webHidden/>
          </w:rPr>
          <w:fldChar w:fldCharType="end"/>
        </w:r>
      </w:hyperlink>
    </w:p>
    <w:p w:rsidR="00460F68" w:rsidRDefault="00430DFB">
      <w:pPr>
        <w:pStyle w:val="TOC2"/>
        <w:rPr>
          <w:rFonts w:ascii="Calibri" w:hAnsi="Calibri" w:cs="Times New Roman"/>
          <w:sz w:val="22"/>
          <w:szCs w:val="22"/>
        </w:rPr>
      </w:pPr>
      <w:hyperlink w:anchor="_Toc285015600" w:history="1">
        <w:r w:rsidR="00460F68" w:rsidRPr="00625586">
          <w:rPr>
            <w:rStyle w:val="Hyperlink"/>
          </w:rPr>
          <w:t>Runoff Reduction</w:t>
        </w:r>
        <w:r w:rsidR="00460F68">
          <w:rPr>
            <w:webHidden/>
          </w:rPr>
          <w:tab/>
        </w:r>
        <w:r w:rsidR="000F768F">
          <w:rPr>
            <w:webHidden/>
          </w:rPr>
          <w:fldChar w:fldCharType="begin"/>
        </w:r>
        <w:r w:rsidR="00460F68">
          <w:rPr>
            <w:webHidden/>
          </w:rPr>
          <w:instrText xml:space="preserve"> PAGEREF _Toc285015600 \h </w:instrText>
        </w:r>
        <w:r w:rsidR="000F768F">
          <w:rPr>
            <w:webHidden/>
          </w:rPr>
        </w:r>
        <w:r w:rsidR="000F768F">
          <w:rPr>
            <w:webHidden/>
          </w:rPr>
          <w:fldChar w:fldCharType="separate"/>
        </w:r>
        <w:r w:rsidR="004B30F2">
          <w:rPr>
            <w:webHidden/>
          </w:rPr>
          <w:t>33</w:t>
        </w:r>
        <w:r w:rsidR="000F768F">
          <w:rPr>
            <w:webHidden/>
          </w:rPr>
          <w:fldChar w:fldCharType="end"/>
        </w:r>
      </w:hyperlink>
    </w:p>
    <w:p w:rsidR="00460F68" w:rsidRDefault="00430DFB">
      <w:pPr>
        <w:pStyle w:val="TOC2"/>
        <w:rPr>
          <w:rFonts w:ascii="Calibri" w:hAnsi="Calibri" w:cs="Times New Roman"/>
          <w:sz w:val="22"/>
          <w:szCs w:val="22"/>
        </w:rPr>
      </w:pPr>
      <w:hyperlink w:anchor="_Toc285015601" w:history="1">
        <w:r w:rsidR="00460F68" w:rsidRPr="00625586">
          <w:rPr>
            <w:rStyle w:val="Hyperlink"/>
          </w:rPr>
          <w:t>Green Roofs</w:t>
        </w:r>
        <w:r w:rsidR="00460F68">
          <w:rPr>
            <w:webHidden/>
          </w:rPr>
          <w:tab/>
        </w:r>
        <w:r w:rsidR="000F768F">
          <w:rPr>
            <w:webHidden/>
          </w:rPr>
          <w:fldChar w:fldCharType="begin"/>
        </w:r>
        <w:r w:rsidR="00460F68">
          <w:rPr>
            <w:webHidden/>
          </w:rPr>
          <w:instrText xml:space="preserve"> PAGEREF _Toc285015601 \h </w:instrText>
        </w:r>
        <w:r w:rsidR="000F768F">
          <w:rPr>
            <w:webHidden/>
          </w:rPr>
        </w:r>
        <w:r w:rsidR="000F768F">
          <w:rPr>
            <w:webHidden/>
          </w:rPr>
          <w:fldChar w:fldCharType="separate"/>
        </w:r>
        <w:r w:rsidR="004B30F2">
          <w:rPr>
            <w:webHidden/>
          </w:rPr>
          <w:t>33</w:t>
        </w:r>
        <w:r w:rsidR="000F768F">
          <w:rPr>
            <w:webHidden/>
          </w:rPr>
          <w:fldChar w:fldCharType="end"/>
        </w:r>
      </w:hyperlink>
    </w:p>
    <w:p w:rsidR="00460F68" w:rsidRDefault="00430DFB">
      <w:pPr>
        <w:pStyle w:val="TOC2"/>
        <w:rPr>
          <w:rFonts w:ascii="Calibri" w:hAnsi="Calibri" w:cs="Times New Roman"/>
          <w:sz w:val="22"/>
          <w:szCs w:val="22"/>
        </w:rPr>
      </w:pPr>
      <w:hyperlink w:anchor="_Toc285015602" w:history="1">
        <w:r w:rsidR="00460F68" w:rsidRPr="00625586">
          <w:rPr>
            <w:rStyle w:val="Hyperlink"/>
          </w:rPr>
          <w:t>Bioretention</w:t>
        </w:r>
        <w:r w:rsidR="00460F68">
          <w:rPr>
            <w:webHidden/>
          </w:rPr>
          <w:tab/>
        </w:r>
        <w:r w:rsidR="000F768F">
          <w:rPr>
            <w:webHidden/>
          </w:rPr>
          <w:fldChar w:fldCharType="begin"/>
        </w:r>
        <w:r w:rsidR="00460F68">
          <w:rPr>
            <w:webHidden/>
          </w:rPr>
          <w:instrText xml:space="preserve"> PAGEREF _Toc285015602 \h </w:instrText>
        </w:r>
        <w:r w:rsidR="000F768F">
          <w:rPr>
            <w:webHidden/>
          </w:rPr>
        </w:r>
        <w:r w:rsidR="000F768F">
          <w:rPr>
            <w:webHidden/>
          </w:rPr>
          <w:fldChar w:fldCharType="separate"/>
        </w:r>
        <w:r w:rsidR="004B30F2">
          <w:rPr>
            <w:webHidden/>
          </w:rPr>
          <w:t>35</w:t>
        </w:r>
        <w:r w:rsidR="000F768F">
          <w:rPr>
            <w:webHidden/>
          </w:rPr>
          <w:fldChar w:fldCharType="end"/>
        </w:r>
      </w:hyperlink>
    </w:p>
    <w:p w:rsidR="00460F68" w:rsidRDefault="00430DFB">
      <w:pPr>
        <w:pStyle w:val="TOC2"/>
        <w:rPr>
          <w:rFonts w:ascii="Calibri" w:hAnsi="Calibri" w:cs="Times New Roman"/>
          <w:sz w:val="22"/>
          <w:szCs w:val="22"/>
        </w:rPr>
      </w:pPr>
      <w:hyperlink w:anchor="_Toc285015603" w:history="1">
        <w:r w:rsidR="00460F68" w:rsidRPr="00625586">
          <w:rPr>
            <w:rStyle w:val="Hyperlink"/>
          </w:rPr>
          <w:t>Vegetated Swales</w:t>
        </w:r>
        <w:r w:rsidR="00460F68">
          <w:rPr>
            <w:webHidden/>
          </w:rPr>
          <w:tab/>
        </w:r>
        <w:r w:rsidR="000F768F">
          <w:rPr>
            <w:webHidden/>
          </w:rPr>
          <w:fldChar w:fldCharType="begin"/>
        </w:r>
        <w:r w:rsidR="00460F68">
          <w:rPr>
            <w:webHidden/>
          </w:rPr>
          <w:instrText xml:space="preserve"> PAGEREF _Toc285015603 \h </w:instrText>
        </w:r>
        <w:r w:rsidR="000F768F">
          <w:rPr>
            <w:webHidden/>
          </w:rPr>
        </w:r>
        <w:r w:rsidR="000F768F">
          <w:rPr>
            <w:webHidden/>
          </w:rPr>
          <w:fldChar w:fldCharType="separate"/>
        </w:r>
        <w:r w:rsidR="004B30F2">
          <w:rPr>
            <w:webHidden/>
          </w:rPr>
          <w:t>36</w:t>
        </w:r>
        <w:r w:rsidR="000F768F">
          <w:rPr>
            <w:webHidden/>
          </w:rPr>
          <w:fldChar w:fldCharType="end"/>
        </w:r>
      </w:hyperlink>
    </w:p>
    <w:p w:rsidR="00460F68" w:rsidRDefault="00430DFB">
      <w:pPr>
        <w:pStyle w:val="TOC2"/>
        <w:rPr>
          <w:rFonts w:ascii="Calibri" w:hAnsi="Calibri" w:cs="Times New Roman"/>
          <w:sz w:val="22"/>
          <w:szCs w:val="22"/>
        </w:rPr>
      </w:pPr>
      <w:hyperlink w:anchor="_Toc285015604" w:history="1">
        <w:r w:rsidR="00460F68" w:rsidRPr="00625586">
          <w:rPr>
            <w:rStyle w:val="Hyperlink"/>
          </w:rPr>
          <w:t>Permeable Pavement</w:t>
        </w:r>
        <w:r w:rsidR="00460F68">
          <w:rPr>
            <w:webHidden/>
          </w:rPr>
          <w:tab/>
        </w:r>
        <w:r w:rsidR="000F768F">
          <w:rPr>
            <w:webHidden/>
          </w:rPr>
          <w:fldChar w:fldCharType="begin"/>
        </w:r>
        <w:r w:rsidR="00460F68">
          <w:rPr>
            <w:webHidden/>
          </w:rPr>
          <w:instrText xml:space="preserve"> PAGEREF _Toc285015604 \h </w:instrText>
        </w:r>
        <w:r w:rsidR="000F768F">
          <w:rPr>
            <w:webHidden/>
          </w:rPr>
        </w:r>
        <w:r w:rsidR="000F768F">
          <w:rPr>
            <w:webHidden/>
          </w:rPr>
          <w:fldChar w:fldCharType="separate"/>
        </w:r>
        <w:r w:rsidR="004B30F2">
          <w:rPr>
            <w:webHidden/>
          </w:rPr>
          <w:t>37</w:t>
        </w:r>
        <w:r w:rsidR="000F768F">
          <w:rPr>
            <w:webHidden/>
          </w:rPr>
          <w:fldChar w:fldCharType="end"/>
        </w:r>
      </w:hyperlink>
    </w:p>
    <w:p w:rsidR="00460F68" w:rsidRDefault="00430DFB">
      <w:pPr>
        <w:pStyle w:val="TOC2"/>
        <w:rPr>
          <w:rFonts w:ascii="Calibri" w:hAnsi="Calibri" w:cs="Times New Roman"/>
          <w:sz w:val="22"/>
          <w:szCs w:val="22"/>
        </w:rPr>
      </w:pPr>
      <w:hyperlink w:anchor="_Toc285015605" w:history="1">
        <w:r w:rsidR="00460F68" w:rsidRPr="00625586">
          <w:rPr>
            <w:rStyle w:val="Hyperlink"/>
          </w:rPr>
          <w:t>Rain Barrels and Cisterns</w:t>
        </w:r>
        <w:r w:rsidR="00460F68">
          <w:rPr>
            <w:webHidden/>
          </w:rPr>
          <w:tab/>
        </w:r>
        <w:r w:rsidR="000F768F">
          <w:rPr>
            <w:webHidden/>
          </w:rPr>
          <w:fldChar w:fldCharType="begin"/>
        </w:r>
        <w:r w:rsidR="00460F68">
          <w:rPr>
            <w:webHidden/>
          </w:rPr>
          <w:instrText xml:space="preserve"> PAGEREF _Toc285015605 \h </w:instrText>
        </w:r>
        <w:r w:rsidR="000F768F">
          <w:rPr>
            <w:webHidden/>
          </w:rPr>
        </w:r>
        <w:r w:rsidR="000F768F">
          <w:rPr>
            <w:webHidden/>
          </w:rPr>
          <w:fldChar w:fldCharType="separate"/>
        </w:r>
        <w:r w:rsidR="004B30F2">
          <w:rPr>
            <w:webHidden/>
          </w:rPr>
          <w:t>38</w:t>
        </w:r>
        <w:r w:rsidR="000F768F">
          <w:rPr>
            <w:webHidden/>
          </w:rPr>
          <w:fldChar w:fldCharType="end"/>
        </w:r>
      </w:hyperlink>
    </w:p>
    <w:p w:rsidR="00460F68" w:rsidRDefault="00430DFB">
      <w:pPr>
        <w:pStyle w:val="TOC2"/>
        <w:rPr>
          <w:rFonts w:ascii="Calibri" w:hAnsi="Calibri" w:cs="Times New Roman"/>
          <w:sz w:val="22"/>
          <w:szCs w:val="22"/>
        </w:rPr>
      </w:pPr>
      <w:hyperlink w:anchor="_Toc285015606" w:history="1">
        <w:r w:rsidR="00460F68" w:rsidRPr="00625586">
          <w:rPr>
            <w:rStyle w:val="Hyperlink"/>
          </w:rPr>
          <w:t>Cumulative Runoff Reduction Check</w:t>
        </w:r>
        <w:r w:rsidR="00460F68">
          <w:rPr>
            <w:webHidden/>
          </w:rPr>
          <w:tab/>
        </w:r>
        <w:r w:rsidR="000F768F">
          <w:rPr>
            <w:webHidden/>
          </w:rPr>
          <w:fldChar w:fldCharType="begin"/>
        </w:r>
        <w:r w:rsidR="00460F68">
          <w:rPr>
            <w:webHidden/>
          </w:rPr>
          <w:instrText xml:space="preserve"> PAGEREF _Toc285015606 \h </w:instrText>
        </w:r>
        <w:r w:rsidR="000F768F">
          <w:rPr>
            <w:webHidden/>
          </w:rPr>
        </w:r>
        <w:r w:rsidR="000F768F">
          <w:rPr>
            <w:webHidden/>
          </w:rPr>
          <w:fldChar w:fldCharType="separate"/>
        </w:r>
        <w:r w:rsidR="004B30F2">
          <w:rPr>
            <w:webHidden/>
          </w:rPr>
          <w:t>38</w:t>
        </w:r>
        <w:r w:rsidR="000F768F">
          <w:rPr>
            <w:webHidden/>
          </w:rPr>
          <w:fldChar w:fldCharType="end"/>
        </w:r>
      </w:hyperlink>
    </w:p>
    <w:p w:rsidR="00460F68" w:rsidRDefault="00430DFB">
      <w:pPr>
        <w:pStyle w:val="TOC2"/>
        <w:rPr>
          <w:rFonts w:ascii="Calibri" w:hAnsi="Calibri" w:cs="Times New Roman"/>
          <w:sz w:val="22"/>
          <w:szCs w:val="22"/>
        </w:rPr>
      </w:pPr>
      <w:hyperlink w:anchor="_Toc285015607" w:history="1">
        <w:r w:rsidR="00460F68" w:rsidRPr="00625586">
          <w:rPr>
            <w:rStyle w:val="Hyperlink"/>
          </w:rPr>
          <w:t>Runoff Recalculation</w:t>
        </w:r>
        <w:r w:rsidR="00460F68">
          <w:rPr>
            <w:webHidden/>
          </w:rPr>
          <w:tab/>
        </w:r>
        <w:r w:rsidR="000F768F">
          <w:rPr>
            <w:webHidden/>
          </w:rPr>
          <w:fldChar w:fldCharType="begin"/>
        </w:r>
        <w:r w:rsidR="00460F68">
          <w:rPr>
            <w:webHidden/>
          </w:rPr>
          <w:instrText xml:space="preserve"> PAGEREF _Toc285015607 \h </w:instrText>
        </w:r>
        <w:r w:rsidR="000F768F">
          <w:rPr>
            <w:webHidden/>
          </w:rPr>
        </w:r>
        <w:r w:rsidR="000F768F">
          <w:rPr>
            <w:webHidden/>
          </w:rPr>
          <w:fldChar w:fldCharType="separate"/>
        </w:r>
        <w:r w:rsidR="004B30F2">
          <w:rPr>
            <w:webHidden/>
          </w:rPr>
          <w:t>39</w:t>
        </w:r>
        <w:r w:rsidR="000F768F">
          <w:rPr>
            <w:webHidden/>
          </w:rPr>
          <w:fldChar w:fldCharType="end"/>
        </w:r>
      </w:hyperlink>
    </w:p>
    <w:p w:rsidR="00460F68" w:rsidRDefault="00430DFB">
      <w:pPr>
        <w:pStyle w:val="TOC2"/>
        <w:rPr>
          <w:rFonts w:ascii="Calibri" w:hAnsi="Calibri" w:cs="Times New Roman"/>
          <w:sz w:val="22"/>
          <w:szCs w:val="22"/>
        </w:rPr>
      </w:pPr>
      <w:hyperlink w:anchor="_Toc285015608" w:history="1">
        <w:r w:rsidR="00460F68" w:rsidRPr="00625586">
          <w:rPr>
            <w:rStyle w:val="Hyperlink"/>
          </w:rPr>
          <w:t>Peak Wet-Weather Flow</w:t>
        </w:r>
        <w:r w:rsidR="00460F68">
          <w:rPr>
            <w:webHidden/>
          </w:rPr>
          <w:tab/>
        </w:r>
        <w:r w:rsidR="000F768F">
          <w:rPr>
            <w:webHidden/>
          </w:rPr>
          <w:fldChar w:fldCharType="begin"/>
        </w:r>
        <w:r w:rsidR="00460F68">
          <w:rPr>
            <w:webHidden/>
          </w:rPr>
          <w:instrText xml:space="preserve"> PAGEREF _Toc285015608 \h </w:instrText>
        </w:r>
        <w:r w:rsidR="000F768F">
          <w:rPr>
            <w:webHidden/>
          </w:rPr>
        </w:r>
        <w:r w:rsidR="000F768F">
          <w:rPr>
            <w:webHidden/>
          </w:rPr>
          <w:fldChar w:fldCharType="separate"/>
        </w:r>
        <w:r w:rsidR="004B30F2">
          <w:rPr>
            <w:webHidden/>
          </w:rPr>
          <w:t>39</w:t>
        </w:r>
        <w:r w:rsidR="000F768F">
          <w:rPr>
            <w:webHidden/>
          </w:rPr>
          <w:fldChar w:fldCharType="end"/>
        </w:r>
      </w:hyperlink>
    </w:p>
    <w:p w:rsidR="00460F68" w:rsidRDefault="00430DFB">
      <w:pPr>
        <w:pStyle w:val="TOC2"/>
        <w:rPr>
          <w:rFonts w:ascii="Calibri" w:hAnsi="Calibri" w:cs="Times New Roman"/>
          <w:sz w:val="22"/>
          <w:szCs w:val="22"/>
        </w:rPr>
      </w:pPr>
      <w:hyperlink w:anchor="_Toc285015609" w:history="1">
        <w:r w:rsidR="00460F68" w:rsidRPr="00625586">
          <w:rPr>
            <w:rStyle w:val="Hyperlink"/>
          </w:rPr>
          <w:t>Revised Overflow</w:t>
        </w:r>
        <w:r w:rsidR="00460F68">
          <w:rPr>
            <w:webHidden/>
          </w:rPr>
          <w:tab/>
        </w:r>
        <w:r w:rsidR="000F768F">
          <w:rPr>
            <w:webHidden/>
          </w:rPr>
          <w:fldChar w:fldCharType="begin"/>
        </w:r>
        <w:r w:rsidR="00460F68">
          <w:rPr>
            <w:webHidden/>
          </w:rPr>
          <w:instrText xml:space="preserve"> PAGEREF _Toc285015609 \h </w:instrText>
        </w:r>
        <w:r w:rsidR="000F768F">
          <w:rPr>
            <w:webHidden/>
          </w:rPr>
        </w:r>
        <w:r w:rsidR="000F768F">
          <w:rPr>
            <w:webHidden/>
          </w:rPr>
          <w:fldChar w:fldCharType="separate"/>
        </w:r>
        <w:r w:rsidR="004B30F2">
          <w:rPr>
            <w:webHidden/>
          </w:rPr>
          <w:t>39</w:t>
        </w:r>
        <w:r w:rsidR="000F768F">
          <w:rPr>
            <w:webHidden/>
          </w:rPr>
          <w:fldChar w:fldCharType="end"/>
        </w:r>
      </w:hyperlink>
    </w:p>
    <w:p w:rsidR="00460F68" w:rsidRDefault="00430DFB">
      <w:pPr>
        <w:pStyle w:val="TOC2"/>
        <w:rPr>
          <w:rFonts w:ascii="Calibri" w:hAnsi="Calibri" w:cs="Times New Roman"/>
          <w:sz w:val="22"/>
          <w:szCs w:val="22"/>
        </w:rPr>
      </w:pPr>
      <w:hyperlink w:anchor="_Toc285015610" w:history="1">
        <w:r w:rsidR="00460F68" w:rsidRPr="00625586">
          <w:rPr>
            <w:rStyle w:val="Hyperlink"/>
          </w:rPr>
          <w:t>Revised Diversion</w:t>
        </w:r>
        <w:r w:rsidR="00460F68">
          <w:rPr>
            <w:webHidden/>
          </w:rPr>
          <w:tab/>
        </w:r>
        <w:r w:rsidR="000F768F">
          <w:rPr>
            <w:webHidden/>
          </w:rPr>
          <w:fldChar w:fldCharType="begin"/>
        </w:r>
        <w:r w:rsidR="00460F68">
          <w:rPr>
            <w:webHidden/>
          </w:rPr>
          <w:instrText xml:space="preserve"> PAGEREF _Toc285015610 \h </w:instrText>
        </w:r>
        <w:r w:rsidR="000F768F">
          <w:rPr>
            <w:webHidden/>
          </w:rPr>
        </w:r>
        <w:r w:rsidR="000F768F">
          <w:rPr>
            <w:webHidden/>
          </w:rPr>
          <w:fldChar w:fldCharType="separate"/>
        </w:r>
        <w:r w:rsidR="004B30F2">
          <w:rPr>
            <w:webHidden/>
          </w:rPr>
          <w:t>40</w:t>
        </w:r>
        <w:r w:rsidR="000F768F">
          <w:rPr>
            <w:webHidden/>
          </w:rPr>
          <w:fldChar w:fldCharType="end"/>
        </w:r>
      </w:hyperlink>
    </w:p>
    <w:p w:rsidR="00460F68" w:rsidRDefault="00430DFB">
      <w:pPr>
        <w:pStyle w:val="TOC2"/>
        <w:rPr>
          <w:rFonts w:ascii="Calibri" w:hAnsi="Calibri" w:cs="Times New Roman"/>
          <w:sz w:val="22"/>
          <w:szCs w:val="22"/>
        </w:rPr>
      </w:pPr>
      <w:hyperlink w:anchor="_Toc285015611" w:history="1">
        <w:r w:rsidR="00460F68" w:rsidRPr="00625586">
          <w:rPr>
            <w:rStyle w:val="Hyperlink"/>
          </w:rPr>
          <w:t>Revised Conveyance</w:t>
        </w:r>
        <w:r w:rsidR="00460F68">
          <w:rPr>
            <w:webHidden/>
          </w:rPr>
          <w:tab/>
        </w:r>
        <w:r w:rsidR="000F768F">
          <w:rPr>
            <w:webHidden/>
          </w:rPr>
          <w:fldChar w:fldCharType="begin"/>
        </w:r>
        <w:r w:rsidR="00460F68">
          <w:rPr>
            <w:webHidden/>
          </w:rPr>
          <w:instrText xml:space="preserve"> PAGEREF _Toc285015611 \h </w:instrText>
        </w:r>
        <w:r w:rsidR="000F768F">
          <w:rPr>
            <w:webHidden/>
          </w:rPr>
        </w:r>
        <w:r w:rsidR="000F768F">
          <w:rPr>
            <w:webHidden/>
          </w:rPr>
          <w:fldChar w:fldCharType="separate"/>
        </w:r>
        <w:r w:rsidR="004B30F2">
          <w:rPr>
            <w:webHidden/>
          </w:rPr>
          <w:t>40</w:t>
        </w:r>
        <w:r w:rsidR="000F768F">
          <w:rPr>
            <w:webHidden/>
          </w:rPr>
          <w:fldChar w:fldCharType="end"/>
        </w:r>
      </w:hyperlink>
    </w:p>
    <w:p w:rsidR="00460F68" w:rsidRDefault="00430DFB">
      <w:pPr>
        <w:pStyle w:val="TOC2"/>
        <w:rPr>
          <w:rFonts w:ascii="Calibri" w:hAnsi="Calibri" w:cs="Times New Roman"/>
          <w:sz w:val="22"/>
          <w:szCs w:val="22"/>
        </w:rPr>
      </w:pPr>
      <w:hyperlink w:anchor="_Toc285015612" w:history="1">
        <w:r w:rsidR="00460F68" w:rsidRPr="00625586">
          <w:rPr>
            <w:rStyle w:val="Hyperlink"/>
          </w:rPr>
          <w:t>Treatment</w:t>
        </w:r>
        <w:r w:rsidR="00460F68">
          <w:rPr>
            <w:webHidden/>
          </w:rPr>
          <w:tab/>
        </w:r>
        <w:r w:rsidR="000F768F">
          <w:rPr>
            <w:webHidden/>
          </w:rPr>
          <w:fldChar w:fldCharType="begin"/>
        </w:r>
        <w:r w:rsidR="00460F68">
          <w:rPr>
            <w:webHidden/>
          </w:rPr>
          <w:instrText xml:space="preserve"> PAGEREF _Toc285015612 \h </w:instrText>
        </w:r>
        <w:r w:rsidR="000F768F">
          <w:rPr>
            <w:webHidden/>
          </w:rPr>
        </w:r>
        <w:r w:rsidR="000F768F">
          <w:rPr>
            <w:webHidden/>
          </w:rPr>
          <w:fldChar w:fldCharType="separate"/>
        </w:r>
        <w:r w:rsidR="004B30F2">
          <w:rPr>
            <w:webHidden/>
          </w:rPr>
          <w:t>40</w:t>
        </w:r>
        <w:r w:rsidR="000F768F">
          <w:rPr>
            <w:webHidden/>
          </w:rPr>
          <w:fldChar w:fldCharType="end"/>
        </w:r>
      </w:hyperlink>
    </w:p>
    <w:p w:rsidR="00460F68" w:rsidRDefault="00430DFB">
      <w:pPr>
        <w:pStyle w:val="TOC2"/>
        <w:rPr>
          <w:rFonts w:ascii="Calibri" w:hAnsi="Calibri" w:cs="Times New Roman"/>
          <w:sz w:val="22"/>
          <w:szCs w:val="22"/>
        </w:rPr>
      </w:pPr>
      <w:hyperlink w:anchor="_Toc285015613" w:history="1">
        <w:r w:rsidR="00460F68" w:rsidRPr="00625586">
          <w:rPr>
            <w:rStyle w:val="Hyperlink"/>
          </w:rPr>
          <w:t>CSO Volume Recalculation</w:t>
        </w:r>
        <w:r w:rsidR="00460F68">
          <w:rPr>
            <w:webHidden/>
          </w:rPr>
          <w:tab/>
        </w:r>
        <w:r w:rsidR="000F768F">
          <w:rPr>
            <w:webHidden/>
          </w:rPr>
          <w:fldChar w:fldCharType="begin"/>
        </w:r>
        <w:r w:rsidR="00460F68">
          <w:rPr>
            <w:webHidden/>
          </w:rPr>
          <w:instrText xml:space="preserve"> PAGEREF _Toc285015613 \h </w:instrText>
        </w:r>
        <w:r w:rsidR="000F768F">
          <w:rPr>
            <w:webHidden/>
          </w:rPr>
        </w:r>
        <w:r w:rsidR="000F768F">
          <w:rPr>
            <w:webHidden/>
          </w:rPr>
          <w:fldChar w:fldCharType="separate"/>
        </w:r>
        <w:r w:rsidR="004B30F2">
          <w:rPr>
            <w:webHidden/>
          </w:rPr>
          <w:t>41</w:t>
        </w:r>
        <w:r w:rsidR="000F768F">
          <w:rPr>
            <w:webHidden/>
          </w:rPr>
          <w:fldChar w:fldCharType="end"/>
        </w:r>
      </w:hyperlink>
    </w:p>
    <w:p w:rsidR="00460F68" w:rsidRDefault="00430DFB">
      <w:pPr>
        <w:pStyle w:val="TOC1"/>
        <w:rPr>
          <w:rFonts w:ascii="Calibri" w:hAnsi="Calibri" w:cs="Times New Roman"/>
          <w:b w:val="0"/>
          <w:sz w:val="22"/>
          <w:szCs w:val="22"/>
        </w:rPr>
      </w:pPr>
      <w:hyperlink w:anchor="_Toc285015614" w:history="1">
        <w:r w:rsidR="00460F68" w:rsidRPr="00625586">
          <w:rPr>
            <w:rStyle w:val="Hyperlink"/>
          </w:rPr>
          <w:t>Instructions: Schedule 5B – CSO Network and WWTP Control</w:t>
        </w:r>
        <w:r w:rsidR="00460F68">
          <w:rPr>
            <w:webHidden/>
          </w:rPr>
          <w:tab/>
        </w:r>
        <w:r w:rsidR="000F768F">
          <w:rPr>
            <w:webHidden/>
          </w:rPr>
          <w:fldChar w:fldCharType="begin"/>
        </w:r>
        <w:r w:rsidR="00460F68">
          <w:rPr>
            <w:webHidden/>
          </w:rPr>
          <w:instrText xml:space="preserve"> PAGEREF _Toc285015614 \h </w:instrText>
        </w:r>
        <w:r w:rsidR="000F768F">
          <w:rPr>
            <w:webHidden/>
          </w:rPr>
        </w:r>
        <w:r w:rsidR="000F768F">
          <w:rPr>
            <w:webHidden/>
          </w:rPr>
          <w:fldChar w:fldCharType="separate"/>
        </w:r>
        <w:r w:rsidR="004B30F2">
          <w:rPr>
            <w:webHidden/>
          </w:rPr>
          <w:t>42</w:t>
        </w:r>
        <w:r w:rsidR="000F768F">
          <w:rPr>
            <w:webHidden/>
          </w:rPr>
          <w:fldChar w:fldCharType="end"/>
        </w:r>
      </w:hyperlink>
    </w:p>
    <w:p w:rsidR="00460F68" w:rsidRDefault="00430DFB">
      <w:pPr>
        <w:pStyle w:val="TOC2"/>
        <w:rPr>
          <w:rFonts w:ascii="Calibri" w:hAnsi="Calibri" w:cs="Times New Roman"/>
          <w:sz w:val="22"/>
          <w:szCs w:val="22"/>
        </w:rPr>
      </w:pPr>
      <w:hyperlink w:anchor="_Toc285015615" w:history="1">
        <w:r w:rsidR="00460F68" w:rsidRPr="00625586">
          <w:rPr>
            <w:rStyle w:val="Hyperlink"/>
          </w:rPr>
          <w:t>Conveyance and Treatment at the WWTP</w:t>
        </w:r>
        <w:r w:rsidR="00460F68">
          <w:rPr>
            <w:webHidden/>
          </w:rPr>
          <w:tab/>
        </w:r>
        <w:r w:rsidR="000F768F">
          <w:rPr>
            <w:webHidden/>
          </w:rPr>
          <w:fldChar w:fldCharType="begin"/>
        </w:r>
        <w:r w:rsidR="00460F68">
          <w:rPr>
            <w:webHidden/>
          </w:rPr>
          <w:instrText xml:space="preserve"> PAGEREF _Toc285015615 \h </w:instrText>
        </w:r>
        <w:r w:rsidR="000F768F">
          <w:rPr>
            <w:webHidden/>
          </w:rPr>
        </w:r>
        <w:r w:rsidR="000F768F">
          <w:rPr>
            <w:webHidden/>
          </w:rPr>
          <w:fldChar w:fldCharType="separate"/>
        </w:r>
        <w:r w:rsidR="004B30F2">
          <w:rPr>
            <w:webHidden/>
          </w:rPr>
          <w:t>42</w:t>
        </w:r>
        <w:r w:rsidR="000F768F">
          <w:rPr>
            <w:webHidden/>
          </w:rPr>
          <w:fldChar w:fldCharType="end"/>
        </w:r>
      </w:hyperlink>
    </w:p>
    <w:p w:rsidR="00460F68" w:rsidRDefault="00430DFB">
      <w:pPr>
        <w:pStyle w:val="TOC2"/>
        <w:rPr>
          <w:rFonts w:ascii="Calibri" w:hAnsi="Calibri" w:cs="Times New Roman"/>
          <w:sz w:val="22"/>
          <w:szCs w:val="22"/>
        </w:rPr>
      </w:pPr>
      <w:hyperlink w:anchor="_Toc285015616" w:history="1">
        <w:r w:rsidR="00460F68" w:rsidRPr="00625586">
          <w:rPr>
            <w:rStyle w:val="Hyperlink"/>
          </w:rPr>
          <w:t>Sewer Separation</w:t>
        </w:r>
        <w:r w:rsidR="00460F68">
          <w:rPr>
            <w:webHidden/>
          </w:rPr>
          <w:tab/>
        </w:r>
        <w:r w:rsidR="000F768F">
          <w:rPr>
            <w:webHidden/>
          </w:rPr>
          <w:fldChar w:fldCharType="begin"/>
        </w:r>
        <w:r w:rsidR="00460F68">
          <w:rPr>
            <w:webHidden/>
          </w:rPr>
          <w:instrText xml:space="preserve"> PAGEREF _Toc285015616 \h </w:instrText>
        </w:r>
        <w:r w:rsidR="000F768F">
          <w:rPr>
            <w:webHidden/>
          </w:rPr>
        </w:r>
        <w:r w:rsidR="000F768F">
          <w:rPr>
            <w:webHidden/>
          </w:rPr>
          <w:fldChar w:fldCharType="separate"/>
        </w:r>
        <w:r w:rsidR="004B30F2">
          <w:rPr>
            <w:webHidden/>
          </w:rPr>
          <w:t>42</w:t>
        </w:r>
        <w:r w:rsidR="000F768F">
          <w:rPr>
            <w:webHidden/>
          </w:rPr>
          <w:fldChar w:fldCharType="end"/>
        </w:r>
      </w:hyperlink>
    </w:p>
    <w:p w:rsidR="00460F68" w:rsidRDefault="00430DFB">
      <w:pPr>
        <w:pStyle w:val="TOC2"/>
        <w:rPr>
          <w:rFonts w:ascii="Calibri" w:hAnsi="Calibri" w:cs="Times New Roman"/>
          <w:sz w:val="22"/>
          <w:szCs w:val="22"/>
        </w:rPr>
      </w:pPr>
      <w:hyperlink w:anchor="_Toc285015617" w:history="1">
        <w:r w:rsidR="00460F68" w:rsidRPr="00625586">
          <w:rPr>
            <w:rStyle w:val="Hyperlink"/>
          </w:rPr>
          <w:t>Off-Line Storage</w:t>
        </w:r>
        <w:r w:rsidR="00460F68">
          <w:rPr>
            <w:webHidden/>
          </w:rPr>
          <w:tab/>
        </w:r>
        <w:r w:rsidR="000F768F">
          <w:rPr>
            <w:webHidden/>
          </w:rPr>
          <w:fldChar w:fldCharType="begin"/>
        </w:r>
        <w:r w:rsidR="00460F68">
          <w:rPr>
            <w:webHidden/>
          </w:rPr>
          <w:instrText xml:space="preserve"> PAGEREF _Toc285015617 \h </w:instrText>
        </w:r>
        <w:r w:rsidR="000F768F">
          <w:rPr>
            <w:webHidden/>
          </w:rPr>
        </w:r>
        <w:r w:rsidR="000F768F">
          <w:rPr>
            <w:webHidden/>
          </w:rPr>
          <w:fldChar w:fldCharType="separate"/>
        </w:r>
        <w:r w:rsidR="004B30F2">
          <w:rPr>
            <w:webHidden/>
          </w:rPr>
          <w:t>42</w:t>
        </w:r>
        <w:r w:rsidR="000F768F">
          <w:rPr>
            <w:webHidden/>
          </w:rPr>
          <w:fldChar w:fldCharType="end"/>
        </w:r>
      </w:hyperlink>
    </w:p>
    <w:p w:rsidR="00460F68" w:rsidRDefault="00430DFB">
      <w:pPr>
        <w:pStyle w:val="TOC2"/>
        <w:rPr>
          <w:rFonts w:ascii="Calibri" w:hAnsi="Calibri" w:cs="Times New Roman"/>
          <w:sz w:val="22"/>
          <w:szCs w:val="22"/>
        </w:rPr>
      </w:pPr>
      <w:hyperlink w:anchor="_Toc285015618" w:history="1">
        <w:r w:rsidR="00460F68" w:rsidRPr="00625586">
          <w:rPr>
            <w:rStyle w:val="Hyperlink"/>
          </w:rPr>
          <w:t>Cost of CSO Control</w:t>
        </w:r>
        <w:r w:rsidR="00460F68">
          <w:rPr>
            <w:webHidden/>
          </w:rPr>
          <w:tab/>
        </w:r>
        <w:r w:rsidR="000F768F">
          <w:rPr>
            <w:webHidden/>
          </w:rPr>
          <w:fldChar w:fldCharType="begin"/>
        </w:r>
        <w:r w:rsidR="00460F68">
          <w:rPr>
            <w:webHidden/>
          </w:rPr>
          <w:instrText xml:space="preserve"> PAGEREF _Toc285015618 \h </w:instrText>
        </w:r>
        <w:r w:rsidR="000F768F">
          <w:rPr>
            <w:webHidden/>
          </w:rPr>
        </w:r>
        <w:r w:rsidR="000F768F">
          <w:rPr>
            <w:webHidden/>
          </w:rPr>
          <w:fldChar w:fldCharType="separate"/>
        </w:r>
        <w:r w:rsidR="004B30F2">
          <w:rPr>
            <w:webHidden/>
          </w:rPr>
          <w:t>43</w:t>
        </w:r>
        <w:r w:rsidR="000F768F">
          <w:rPr>
            <w:webHidden/>
          </w:rPr>
          <w:fldChar w:fldCharType="end"/>
        </w:r>
      </w:hyperlink>
    </w:p>
    <w:p w:rsidR="00460F68" w:rsidRDefault="00430DFB">
      <w:pPr>
        <w:pStyle w:val="TOC2"/>
        <w:rPr>
          <w:rFonts w:ascii="Calibri" w:hAnsi="Calibri" w:cs="Times New Roman"/>
          <w:sz w:val="22"/>
          <w:szCs w:val="22"/>
        </w:rPr>
      </w:pPr>
      <w:hyperlink w:anchor="_Toc285015619" w:history="1">
        <w:r w:rsidR="00460F68" w:rsidRPr="00625586">
          <w:rPr>
            <w:rStyle w:val="Hyperlink"/>
          </w:rPr>
          <w:t>Summary</w:t>
        </w:r>
        <w:r w:rsidR="00460F68">
          <w:rPr>
            <w:webHidden/>
          </w:rPr>
          <w:tab/>
        </w:r>
        <w:r w:rsidR="000F768F">
          <w:rPr>
            <w:webHidden/>
          </w:rPr>
          <w:fldChar w:fldCharType="begin"/>
        </w:r>
        <w:r w:rsidR="00460F68">
          <w:rPr>
            <w:webHidden/>
          </w:rPr>
          <w:instrText xml:space="preserve"> PAGEREF _Toc285015619 \h </w:instrText>
        </w:r>
        <w:r w:rsidR="000F768F">
          <w:rPr>
            <w:webHidden/>
          </w:rPr>
        </w:r>
        <w:r w:rsidR="000F768F">
          <w:rPr>
            <w:webHidden/>
          </w:rPr>
          <w:fldChar w:fldCharType="separate"/>
        </w:r>
        <w:r w:rsidR="004B30F2">
          <w:rPr>
            <w:webHidden/>
          </w:rPr>
          <w:t>43</w:t>
        </w:r>
        <w:r w:rsidR="000F768F">
          <w:rPr>
            <w:webHidden/>
          </w:rPr>
          <w:fldChar w:fldCharType="end"/>
        </w:r>
      </w:hyperlink>
    </w:p>
    <w:p w:rsidR="00460F68" w:rsidRDefault="00430DFB">
      <w:pPr>
        <w:pStyle w:val="TOC2"/>
        <w:rPr>
          <w:rFonts w:ascii="Calibri" w:hAnsi="Calibri" w:cs="Times New Roman"/>
          <w:sz w:val="22"/>
          <w:szCs w:val="22"/>
        </w:rPr>
      </w:pPr>
      <w:hyperlink w:anchor="_Toc285015620" w:history="1">
        <w:r w:rsidR="00460F68" w:rsidRPr="00625586">
          <w:rPr>
            <w:rStyle w:val="Hyperlink"/>
          </w:rPr>
          <w:t>Conveyance and Treatment at the WWTP</w:t>
        </w:r>
        <w:r w:rsidR="00460F68">
          <w:rPr>
            <w:webHidden/>
          </w:rPr>
          <w:tab/>
        </w:r>
        <w:r w:rsidR="000F768F">
          <w:rPr>
            <w:webHidden/>
          </w:rPr>
          <w:fldChar w:fldCharType="begin"/>
        </w:r>
        <w:r w:rsidR="00460F68">
          <w:rPr>
            <w:webHidden/>
          </w:rPr>
          <w:instrText xml:space="preserve"> PAGEREF _Toc285015620 \h </w:instrText>
        </w:r>
        <w:r w:rsidR="000F768F">
          <w:rPr>
            <w:webHidden/>
          </w:rPr>
        </w:r>
        <w:r w:rsidR="000F768F">
          <w:rPr>
            <w:webHidden/>
          </w:rPr>
          <w:fldChar w:fldCharType="separate"/>
        </w:r>
        <w:r w:rsidR="004B30F2">
          <w:rPr>
            <w:webHidden/>
          </w:rPr>
          <w:t>44</w:t>
        </w:r>
        <w:r w:rsidR="000F768F">
          <w:rPr>
            <w:webHidden/>
          </w:rPr>
          <w:fldChar w:fldCharType="end"/>
        </w:r>
      </w:hyperlink>
    </w:p>
    <w:p w:rsidR="00460F68" w:rsidRDefault="00430DFB">
      <w:pPr>
        <w:pStyle w:val="TOC2"/>
        <w:rPr>
          <w:rFonts w:ascii="Calibri" w:hAnsi="Calibri" w:cs="Times New Roman"/>
          <w:sz w:val="22"/>
          <w:szCs w:val="22"/>
        </w:rPr>
      </w:pPr>
      <w:hyperlink w:anchor="_Toc285015621" w:history="1">
        <w:r w:rsidR="00460F68" w:rsidRPr="00625586">
          <w:rPr>
            <w:rStyle w:val="Hyperlink"/>
          </w:rPr>
          <w:t>Sewer Separation</w:t>
        </w:r>
        <w:r w:rsidR="00460F68">
          <w:rPr>
            <w:webHidden/>
          </w:rPr>
          <w:tab/>
        </w:r>
        <w:r w:rsidR="000F768F">
          <w:rPr>
            <w:webHidden/>
          </w:rPr>
          <w:fldChar w:fldCharType="begin"/>
        </w:r>
        <w:r w:rsidR="00460F68">
          <w:rPr>
            <w:webHidden/>
          </w:rPr>
          <w:instrText xml:space="preserve"> PAGEREF _Toc285015621 \h </w:instrText>
        </w:r>
        <w:r w:rsidR="000F768F">
          <w:rPr>
            <w:webHidden/>
          </w:rPr>
        </w:r>
        <w:r w:rsidR="000F768F">
          <w:rPr>
            <w:webHidden/>
          </w:rPr>
          <w:fldChar w:fldCharType="separate"/>
        </w:r>
        <w:r w:rsidR="004B30F2">
          <w:rPr>
            <w:webHidden/>
          </w:rPr>
          <w:t>44</w:t>
        </w:r>
        <w:r w:rsidR="000F768F">
          <w:rPr>
            <w:webHidden/>
          </w:rPr>
          <w:fldChar w:fldCharType="end"/>
        </w:r>
      </w:hyperlink>
    </w:p>
    <w:p w:rsidR="00460F68" w:rsidRDefault="00430DFB">
      <w:pPr>
        <w:pStyle w:val="TOC2"/>
        <w:rPr>
          <w:rFonts w:ascii="Calibri" w:hAnsi="Calibri" w:cs="Times New Roman"/>
          <w:sz w:val="22"/>
          <w:szCs w:val="22"/>
        </w:rPr>
      </w:pPr>
      <w:hyperlink w:anchor="_Toc285015622" w:history="1">
        <w:r w:rsidR="00460F68" w:rsidRPr="00625586">
          <w:rPr>
            <w:rStyle w:val="Hyperlink"/>
          </w:rPr>
          <w:t>Off-Line Storage</w:t>
        </w:r>
        <w:r w:rsidR="00460F68">
          <w:rPr>
            <w:webHidden/>
          </w:rPr>
          <w:tab/>
        </w:r>
        <w:r w:rsidR="000F768F">
          <w:rPr>
            <w:webHidden/>
          </w:rPr>
          <w:fldChar w:fldCharType="begin"/>
        </w:r>
        <w:r w:rsidR="00460F68">
          <w:rPr>
            <w:webHidden/>
          </w:rPr>
          <w:instrText xml:space="preserve"> PAGEREF _Toc285015622 \h </w:instrText>
        </w:r>
        <w:r w:rsidR="000F768F">
          <w:rPr>
            <w:webHidden/>
          </w:rPr>
        </w:r>
        <w:r w:rsidR="000F768F">
          <w:rPr>
            <w:webHidden/>
          </w:rPr>
          <w:fldChar w:fldCharType="separate"/>
        </w:r>
        <w:r w:rsidR="004B30F2">
          <w:rPr>
            <w:webHidden/>
          </w:rPr>
          <w:t>45</w:t>
        </w:r>
        <w:r w:rsidR="000F768F">
          <w:rPr>
            <w:webHidden/>
          </w:rPr>
          <w:fldChar w:fldCharType="end"/>
        </w:r>
      </w:hyperlink>
    </w:p>
    <w:p w:rsidR="00460F68" w:rsidRDefault="00430DFB">
      <w:pPr>
        <w:pStyle w:val="TOC2"/>
        <w:rPr>
          <w:rFonts w:ascii="Calibri" w:hAnsi="Calibri" w:cs="Times New Roman"/>
          <w:sz w:val="22"/>
          <w:szCs w:val="22"/>
        </w:rPr>
      </w:pPr>
      <w:hyperlink w:anchor="_Toc285015623" w:history="1">
        <w:r w:rsidR="00460F68" w:rsidRPr="00625586">
          <w:rPr>
            <w:rStyle w:val="Hyperlink"/>
          </w:rPr>
          <w:t>Summary of Controls and Costs</w:t>
        </w:r>
        <w:r w:rsidR="00460F68">
          <w:rPr>
            <w:webHidden/>
          </w:rPr>
          <w:tab/>
        </w:r>
        <w:r w:rsidR="000F768F">
          <w:rPr>
            <w:webHidden/>
          </w:rPr>
          <w:fldChar w:fldCharType="begin"/>
        </w:r>
        <w:r w:rsidR="00460F68">
          <w:rPr>
            <w:webHidden/>
          </w:rPr>
          <w:instrText xml:space="preserve"> PAGEREF _Toc285015623 \h </w:instrText>
        </w:r>
        <w:r w:rsidR="000F768F">
          <w:rPr>
            <w:webHidden/>
          </w:rPr>
        </w:r>
        <w:r w:rsidR="000F768F">
          <w:rPr>
            <w:webHidden/>
          </w:rPr>
          <w:fldChar w:fldCharType="separate"/>
        </w:r>
        <w:r w:rsidR="004B30F2">
          <w:rPr>
            <w:webHidden/>
          </w:rPr>
          <w:t>45</w:t>
        </w:r>
        <w:r w:rsidR="000F768F">
          <w:rPr>
            <w:webHidden/>
          </w:rPr>
          <w:fldChar w:fldCharType="end"/>
        </w:r>
      </w:hyperlink>
    </w:p>
    <w:p w:rsidR="00460F68" w:rsidRDefault="00430DFB">
      <w:pPr>
        <w:pStyle w:val="TOC1"/>
        <w:rPr>
          <w:rFonts w:ascii="Calibri" w:hAnsi="Calibri" w:cs="Times New Roman"/>
          <w:b w:val="0"/>
          <w:sz w:val="22"/>
          <w:szCs w:val="22"/>
        </w:rPr>
      </w:pPr>
      <w:hyperlink w:anchor="_Toc285015624" w:history="1">
        <w:r w:rsidR="00460F68" w:rsidRPr="00625586">
          <w:rPr>
            <w:rStyle w:val="Hyperlink"/>
          </w:rPr>
          <w:t>Instructions: Schedule 6 – CSO Financial Capability</w:t>
        </w:r>
        <w:r w:rsidR="00460F68">
          <w:rPr>
            <w:webHidden/>
          </w:rPr>
          <w:tab/>
        </w:r>
        <w:r w:rsidR="000F768F">
          <w:rPr>
            <w:webHidden/>
          </w:rPr>
          <w:fldChar w:fldCharType="begin"/>
        </w:r>
        <w:r w:rsidR="00460F68">
          <w:rPr>
            <w:webHidden/>
          </w:rPr>
          <w:instrText xml:space="preserve"> PAGEREF _Toc285015624 \h </w:instrText>
        </w:r>
        <w:r w:rsidR="000F768F">
          <w:rPr>
            <w:webHidden/>
          </w:rPr>
        </w:r>
        <w:r w:rsidR="000F768F">
          <w:rPr>
            <w:webHidden/>
          </w:rPr>
          <w:fldChar w:fldCharType="separate"/>
        </w:r>
        <w:r w:rsidR="004B30F2">
          <w:rPr>
            <w:webHidden/>
          </w:rPr>
          <w:t>46</w:t>
        </w:r>
        <w:r w:rsidR="000F768F">
          <w:rPr>
            <w:webHidden/>
          </w:rPr>
          <w:fldChar w:fldCharType="end"/>
        </w:r>
      </w:hyperlink>
    </w:p>
    <w:p w:rsidR="00460F68" w:rsidRDefault="00430DFB">
      <w:pPr>
        <w:pStyle w:val="TOC2"/>
        <w:rPr>
          <w:rFonts w:ascii="Calibri" w:hAnsi="Calibri" w:cs="Times New Roman"/>
          <w:sz w:val="22"/>
          <w:szCs w:val="22"/>
        </w:rPr>
      </w:pPr>
      <w:hyperlink w:anchor="_Toc285015625" w:history="1">
        <w:r w:rsidR="00460F68" w:rsidRPr="00625586">
          <w:rPr>
            <w:rStyle w:val="Hyperlink"/>
          </w:rPr>
          <w:t>Phase I Residential Indicator</w:t>
        </w:r>
        <w:r w:rsidR="00460F68">
          <w:rPr>
            <w:webHidden/>
          </w:rPr>
          <w:tab/>
        </w:r>
        <w:r w:rsidR="000F768F">
          <w:rPr>
            <w:webHidden/>
          </w:rPr>
          <w:fldChar w:fldCharType="begin"/>
        </w:r>
        <w:r w:rsidR="00460F68">
          <w:rPr>
            <w:webHidden/>
          </w:rPr>
          <w:instrText xml:space="preserve"> PAGEREF _Toc285015625 \h </w:instrText>
        </w:r>
        <w:r w:rsidR="000F768F">
          <w:rPr>
            <w:webHidden/>
          </w:rPr>
        </w:r>
        <w:r w:rsidR="000F768F">
          <w:rPr>
            <w:webHidden/>
          </w:rPr>
          <w:fldChar w:fldCharType="separate"/>
        </w:r>
        <w:r w:rsidR="004B30F2">
          <w:rPr>
            <w:webHidden/>
          </w:rPr>
          <w:t>47</w:t>
        </w:r>
        <w:r w:rsidR="000F768F">
          <w:rPr>
            <w:webHidden/>
          </w:rPr>
          <w:fldChar w:fldCharType="end"/>
        </w:r>
      </w:hyperlink>
    </w:p>
    <w:p w:rsidR="00460F68" w:rsidRDefault="00430DFB">
      <w:pPr>
        <w:pStyle w:val="TOC2"/>
        <w:rPr>
          <w:rFonts w:ascii="Calibri" w:hAnsi="Calibri" w:cs="Times New Roman"/>
          <w:sz w:val="22"/>
          <w:szCs w:val="22"/>
        </w:rPr>
      </w:pPr>
      <w:hyperlink w:anchor="_Toc285015626" w:history="1">
        <w:r w:rsidR="00460F68" w:rsidRPr="00625586">
          <w:rPr>
            <w:rStyle w:val="Hyperlink"/>
          </w:rPr>
          <w:t>Current Costs</w:t>
        </w:r>
        <w:r w:rsidR="00460F68">
          <w:rPr>
            <w:webHidden/>
          </w:rPr>
          <w:tab/>
        </w:r>
        <w:r w:rsidR="000F768F">
          <w:rPr>
            <w:webHidden/>
          </w:rPr>
          <w:fldChar w:fldCharType="begin"/>
        </w:r>
        <w:r w:rsidR="00460F68">
          <w:rPr>
            <w:webHidden/>
          </w:rPr>
          <w:instrText xml:space="preserve"> PAGEREF _Toc285015626 \h </w:instrText>
        </w:r>
        <w:r w:rsidR="000F768F">
          <w:rPr>
            <w:webHidden/>
          </w:rPr>
        </w:r>
        <w:r w:rsidR="000F768F">
          <w:rPr>
            <w:webHidden/>
          </w:rPr>
          <w:fldChar w:fldCharType="separate"/>
        </w:r>
        <w:r w:rsidR="004B30F2">
          <w:rPr>
            <w:webHidden/>
          </w:rPr>
          <w:t>47</w:t>
        </w:r>
        <w:r w:rsidR="000F768F">
          <w:rPr>
            <w:webHidden/>
          </w:rPr>
          <w:fldChar w:fldCharType="end"/>
        </w:r>
      </w:hyperlink>
    </w:p>
    <w:p w:rsidR="00460F68" w:rsidRDefault="00430DFB">
      <w:pPr>
        <w:pStyle w:val="TOC2"/>
        <w:rPr>
          <w:rFonts w:ascii="Calibri" w:hAnsi="Calibri" w:cs="Times New Roman"/>
          <w:sz w:val="22"/>
          <w:szCs w:val="22"/>
        </w:rPr>
      </w:pPr>
      <w:hyperlink w:anchor="_Toc285015627" w:history="1">
        <w:r w:rsidR="00460F68" w:rsidRPr="00625586">
          <w:rPr>
            <w:rStyle w:val="Hyperlink"/>
          </w:rPr>
          <w:t>Projected Costs (Current Dollars)</w:t>
        </w:r>
        <w:r w:rsidR="00460F68">
          <w:rPr>
            <w:webHidden/>
          </w:rPr>
          <w:tab/>
        </w:r>
        <w:r w:rsidR="000F768F">
          <w:rPr>
            <w:webHidden/>
          </w:rPr>
          <w:fldChar w:fldCharType="begin"/>
        </w:r>
        <w:r w:rsidR="00460F68">
          <w:rPr>
            <w:webHidden/>
          </w:rPr>
          <w:instrText xml:space="preserve"> PAGEREF _Toc285015627 \h </w:instrText>
        </w:r>
        <w:r w:rsidR="000F768F">
          <w:rPr>
            <w:webHidden/>
          </w:rPr>
        </w:r>
        <w:r w:rsidR="000F768F">
          <w:rPr>
            <w:webHidden/>
          </w:rPr>
          <w:fldChar w:fldCharType="separate"/>
        </w:r>
        <w:r w:rsidR="004B30F2">
          <w:rPr>
            <w:webHidden/>
          </w:rPr>
          <w:t>47</w:t>
        </w:r>
        <w:r w:rsidR="000F768F">
          <w:rPr>
            <w:webHidden/>
          </w:rPr>
          <w:fldChar w:fldCharType="end"/>
        </w:r>
      </w:hyperlink>
    </w:p>
    <w:p w:rsidR="00460F68" w:rsidRDefault="00430DFB">
      <w:pPr>
        <w:pStyle w:val="TOC2"/>
        <w:rPr>
          <w:rFonts w:ascii="Calibri" w:hAnsi="Calibri" w:cs="Times New Roman"/>
          <w:sz w:val="22"/>
          <w:szCs w:val="22"/>
        </w:rPr>
      </w:pPr>
      <w:hyperlink w:anchor="_Toc285015628" w:history="1">
        <w:r w:rsidR="00460F68" w:rsidRPr="00625586">
          <w:rPr>
            <w:rStyle w:val="Hyperlink"/>
          </w:rPr>
          <w:t>Cost Per Household</w:t>
        </w:r>
        <w:r w:rsidR="00460F68">
          <w:rPr>
            <w:webHidden/>
          </w:rPr>
          <w:tab/>
        </w:r>
        <w:r w:rsidR="000F768F">
          <w:rPr>
            <w:webHidden/>
          </w:rPr>
          <w:fldChar w:fldCharType="begin"/>
        </w:r>
        <w:r w:rsidR="00460F68">
          <w:rPr>
            <w:webHidden/>
          </w:rPr>
          <w:instrText xml:space="preserve"> PAGEREF _Toc285015628 \h </w:instrText>
        </w:r>
        <w:r w:rsidR="000F768F">
          <w:rPr>
            <w:webHidden/>
          </w:rPr>
        </w:r>
        <w:r w:rsidR="000F768F">
          <w:rPr>
            <w:webHidden/>
          </w:rPr>
          <w:fldChar w:fldCharType="separate"/>
        </w:r>
        <w:r w:rsidR="004B30F2">
          <w:rPr>
            <w:webHidden/>
          </w:rPr>
          <w:t>48</w:t>
        </w:r>
        <w:r w:rsidR="000F768F">
          <w:rPr>
            <w:webHidden/>
          </w:rPr>
          <w:fldChar w:fldCharType="end"/>
        </w:r>
      </w:hyperlink>
    </w:p>
    <w:p w:rsidR="00460F68" w:rsidRDefault="00430DFB">
      <w:pPr>
        <w:pStyle w:val="TOC2"/>
        <w:rPr>
          <w:rFonts w:ascii="Calibri" w:hAnsi="Calibri" w:cs="Times New Roman"/>
          <w:sz w:val="22"/>
          <w:szCs w:val="22"/>
        </w:rPr>
      </w:pPr>
      <w:hyperlink w:anchor="_Toc285015629" w:history="1">
        <w:r w:rsidR="00460F68" w:rsidRPr="00625586">
          <w:rPr>
            <w:rStyle w:val="Hyperlink"/>
          </w:rPr>
          <w:t>Median Household Income (MHI)</w:t>
        </w:r>
        <w:r w:rsidR="00460F68">
          <w:rPr>
            <w:webHidden/>
          </w:rPr>
          <w:tab/>
        </w:r>
        <w:r w:rsidR="000F768F">
          <w:rPr>
            <w:webHidden/>
          </w:rPr>
          <w:fldChar w:fldCharType="begin"/>
        </w:r>
        <w:r w:rsidR="00460F68">
          <w:rPr>
            <w:webHidden/>
          </w:rPr>
          <w:instrText xml:space="preserve"> PAGEREF _Toc285015629 \h </w:instrText>
        </w:r>
        <w:r w:rsidR="000F768F">
          <w:rPr>
            <w:webHidden/>
          </w:rPr>
        </w:r>
        <w:r w:rsidR="000F768F">
          <w:rPr>
            <w:webHidden/>
          </w:rPr>
          <w:fldChar w:fldCharType="separate"/>
        </w:r>
        <w:r w:rsidR="004B30F2">
          <w:rPr>
            <w:webHidden/>
          </w:rPr>
          <w:t>48</w:t>
        </w:r>
        <w:r w:rsidR="000F768F">
          <w:rPr>
            <w:webHidden/>
          </w:rPr>
          <w:fldChar w:fldCharType="end"/>
        </w:r>
      </w:hyperlink>
    </w:p>
    <w:p w:rsidR="00460F68" w:rsidRDefault="00430DFB">
      <w:pPr>
        <w:pStyle w:val="TOC2"/>
        <w:rPr>
          <w:rFonts w:ascii="Calibri" w:hAnsi="Calibri" w:cs="Times New Roman"/>
          <w:sz w:val="22"/>
          <w:szCs w:val="22"/>
        </w:rPr>
      </w:pPr>
      <w:hyperlink w:anchor="_Toc285015630" w:history="1">
        <w:r w:rsidR="00460F68" w:rsidRPr="00625586">
          <w:rPr>
            <w:rStyle w:val="Hyperlink"/>
          </w:rPr>
          <w:t>Residential Indicator</w:t>
        </w:r>
        <w:r w:rsidR="00460F68">
          <w:rPr>
            <w:webHidden/>
          </w:rPr>
          <w:tab/>
        </w:r>
        <w:r w:rsidR="000F768F">
          <w:rPr>
            <w:webHidden/>
          </w:rPr>
          <w:fldChar w:fldCharType="begin"/>
        </w:r>
        <w:r w:rsidR="00460F68">
          <w:rPr>
            <w:webHidden/>
          </w:rPr>
          <w:instrText xml:space="preserve"> PAGEREF _Toc285015630 \h </w:instrText>
        </w:r>
        <w:r w:rsidR="000F768F">
          <w:rPr>
            <w:webHidden/>
          </w:rPr>
        </w:r>
        <w:r w:rsidR="000F768F">
          <w:rPr>
            <w:webHidden/>
          </w:rPr>
          <w:fldChar w:fldCharType="separate"/>
        </w:r>
        <w:r w:rsidR="004B30F2">
          <w:rPr>
            <w:webHidden/>
          </w:rPr>
          <w:t>49</w:t>
        </w:r>
        <w:r w:rsidR="000F768F">
          <w:rPr>
            <w:webHidden/>
          </w:rPr>
          <w:fldChar w:fldCharType="end"/>
        </w:r>
      </w:hyperlink>
    </w:p>
    <w:p w:rsidR="00460F68" w:rsidRDefault="00430DFB">
      <w:pPr>
        <w:pStyle w:val="TOC2"/>
        <w:rPr>
          <w:rFonts w:ascii="Calibri" w:hAnsi="Calibri" w:cs="Times New Roman"/>
          <w:sz w:val="22"/>
          <w:szCs w:val="22"/>
        </w:rPr>
      </w:pPr>
      <w:hyperlink w:anchor="_Toc285015631" w:history="1">
        <w:r w:rsidR="00460F68" w:rsidRPr="00625586">
          <w:rPr>
            <w:rStyle w:val="Hyperlink"/>
          </w:rPr>
          <w:t>Phase II Permittee Financial Capability Indicators</w:t>
        </w:r>
        <w:r w:rsidR="00460F68">
          <w:rPr>
            <w:webHidden/>
          </w:rPr>
          <w:tab/>
        </w:r>
        <w:r w:rsidR="000F768F">
          <w:rPr>
            <w:webHidden/>
          </w:rPr>
          <w:fldChar w:fldCharType="begin"/>
        </w:r>
        <w:r w:rsidR="00460F68">
          <w:rPr>
            <w:webHidden/>
          </w:rPr>
          <w:instrText xml:space="preserve"> PAGEREF _Toc285015631 \h </w:instrText>
        </w:r>
        <w:r w:rsidR="000F768F">
          <w:rPr>
            <w:webHidden/>
          </w:rPr>
        </w:r>
        <w:r w:rsidR="000F768F">
          <w:rPr>
            <w:webHidden/>
          </w:rPr>
          <w:fldChar w:fldCharType="separate"/>
        </w:r>
        <w:r w:rsidR="004B30F2">
          <w:rPr>
            <w:webHidden/>
          </w:rPr>
          <w:t>49</w:t>
        </w:r>
        <w:r w:rsidR="000F768F">
          <w:rPr>
            <w:webHidden/>
          </w:rPr>
          <w:fldChar w:fldCharType="end"/>
        </w:r>
      </w:hyperlink>
    </w:p>
    <w:p w:rsidR="00460F68" w:rsidRDefault="00430DFB">
      <w:pPr>
        <w:pStyle w:val="TOC2"/>
        <w:rPr>
          <w:rFonts w:ascii="Calibri" w:hAnsi="Calibri" w:cs="Times New Roman"/>
          <w:sz w:val="22"/>
          <w:szCs w:val="22"/>
        </w:rPr>
      </w:pPr>
      <w:hyperlink w:anchor="_Toc285015632" w:history="1">
        <w:r w:rsidR="00460F68" w:rsidRPr="00625586">
          <w:rPr>
            <w:rStyle w:val="Hyperlink"/>
          </w:rPr>
          <w:t>Debt Indicators</w:t>
        </w:r>
        <w:r w:rsidR="00460F68">
          <w:rPr>
            <w:webHidden/>
          </w:rPr>
          <w:tab/>
        </w:r>
        <w:r w:rsidR="000F768F">
          <w:rPr>
            <w:webHidden/>
          </w:rPr>
          <w:fldChar w:fldCharType="begin"/>
        </w:r>
        <w:r w:rsidR="00460F68">
          <w:rPr>
            <w:webHidden/>
          </w:rPr>
          <w:instrText xml:space="preserve"> PAGEREF _Toc285015632 \h </w:instrText>
        </w:r>
        <w:r w:rsidR="000F768F">
          <w:rPr>
            <w:webHidden/>
          </w:rPr>
        </w:r>
        <w:r w:rsidR="000F768F">
          <w:rPr>
            <w:webHidden/>
          </w:rPr>
          <w:fldChar w:fldCharType="separate"/>
        </w:r>
        <w:r w:rsidR="004B30F2">
          <w:rPr>
            <w:webHidden/>
          </w:rPr>
          <w:t>50</w:t>
        </w:r>
        <w:r w:rsidR="000F768F">
          <w:rPr>
            <w:webHidden/>
          </w:rPr>
          <w:fldChar w:fldCharType="end"/>
        </w:r>
      </w:hyperlink>
    </w:p>
    <w:p w:rsidR="00460F68" w:rsidRDefault="00430DFB">
      <w:pPr>
        <w:pStyle w:val="TOC2"/>
        <w:rPr>
          <w:rFonts w:ascii="Calibri" w:hAnsi="Calibri" w:cs="Times New Roman"/>
          <w:sz w:val="22"/>
          <w:szCs w:val="22"/>
        </w:rPr>
      </w:pPr>
      <w:hyperlink w:anchor="_Toc285015633" w:history="1">
        <w:r w:rsidR="00460F68" w:rsidRPr="00625586">
          <w:rPr>
            <w:rStyle w:val="Hyperlink"/>
          </w:rPr>
          <w:t>Overall Net Debt</w:t>
        </w:r>
        <w:r w:rsidR="00460F68">
          <w:rPr>
            <w:webHidden/>
          </w:rPr>
          <w:tab/>
        </w:r>
        <w:r w:rsidR="000F768F">
          <w:rPr>
            <w:webHidden/>
          </w:rPr>
          <w:fldChar w:fldCharType="begin"/>
        </w:r>
        <w:r w:rsidR="00460F68">
          <w:rPr>
            <w:webHidden/>
          </w:rPr>
          <w:instrText xml:space="preserve"> PAGEREF _Toc285015633 \h </w:instrText>
        </w:r>
        <w:r w:rsidR="000F768F">
          <w:rPr>
            <w:webHidden/>
          </w:rPr>
        </w:r>
        <w:r w:rsidR="000F768F">
          <w:rPr>
            <w:webHidden/>
          </w:rPr>
          <w:fldChar w:fldCharType="separate"/>
        </w:r>
        <w:r w:rsidR="004B30F2">
          <w:rPr>
            <w:webHidden/>
          </w:rPr>
          <w:t>51</w:t>
        </w:r>
        <w:r w:rsidR="000F768F">
          <w:rPr>
            <w:webHidden/>
          </w:rPr>
          <w:fldChar w:fldCharType="end"/>
        </w:r>
      </w:hyperlink>
    </w:p>
    <w:p w:rsidR="00460F68" w:rsidRDefault="00430DFB">
      <w:pPr>
        <w:pStyle w:val="TOC2"/>
        <w:rPr>
          <w:rFonts w:ascii="Calibri" w:hAnsi="Calibri" w:cs="Times New Roman"/>
          <w:sz w:val="22"/>
          <w:szCs w:val="22"/>
        </w:rPr>
      </w:pPr>
      <w:hyperlink w:anchor="_Toc285015634" w:history="1">
        <w:r w:rsidR="00460F68" w:rsidRPr="00625586">
          <w:rPr>
            <w:rStyle w:val="Hyperlink"/>
          </w:rPr>
          <w:t>Socioeconomic Indicators</w:t>
        </w:r>
        <w:r w:rsidR="00460F68">
          <w:rPr>
            <w:webHidden/>
          </w:rPr>
          <w:tab/>
        </w:r>
        <w:r w:rsidR="000F768F">
          <w:rPr>
            <w:webHidden/>
          </w:rPr>
          <w:fldChar w:fldCharType="begin"/>
        </w:r>
        <w:r w:rsidR="00460F68">
          <w:rPr>
            <w:webHidden/>
          </w:rPr>
          <w:instrText xml:space="preserve"> PAGEREF _Toc285015634 \h </w:instrText>
        </w:r>
        <w:r w:rsidR="000F768F">
          <w:rPr>
            <w:webHidden/>
          </w:rPr>
        </w:r>
        <w:r w:rsidR="000F768F">
          <w:rPr>
            <w:webHidden/>
          </w:rPr>
          <w:fldChar w:fldCharType="separate"/>
        </w:r>
        <w:r w:rsidR="004B30F2">
          <w:rPr>
            <w:webHidden/>
          </w:rPr>
          <w:t>51</w:t>
        </w:r>
        <w:r w:rsidR="000F768F">
          <w:rPr>
            <w:webHidden/>
          </w:rPr>
          <w:fldChar w:fldCharType="end"/>
        </w:r>
      </w:hyperlink>
    </w:p>
    <w:p w:rsidR="00460F68" w:rsidRDefault="00430DFB">
      <w:pPr>
        <w:pStyle w:val="TOC2"/>
        <w:rPr>
          <w:rFonts w:ascii="Calibri" w:hAnsi="Calibri" w:cs="Times New Roman"/>
          <w:sz w:val="22"/>
          <w:szCs w:val="22"/>
        </w:rPr>
      </w:pPr>
      <w:hyperlink w:anchor="_Toc285015635" w:history="1">
        <w:r w:rsidR="00460F68" w:rsidRPr="00625586">
          <w:rPr>
            <w:rStyle w:val="Hyperlink"/>
          </w:rPr>
          <w:t>Unemployment Rate</w:t>
        </w:r>
        <w:r w:rsidR="00460F68">
          <w:rPr>
            <w:webHidden/>
          </w:rPr>
          <w:tab/>
        </w:r>
        <w:r w:rsidR="000F768F">
          <w:rPr>
            <w:webHidden/>
          </w:rPr>
          <w:fldChar w:fldCharType="begin"/>
        </w:r>
        <w:r w:rsidR="00460F68">
          <w:rPr>
            <w:webHidden/>
          </w:rPr>
          <w:instrText xml:space="preserve"> PAGEREF _Toc285015635 \h </w:instrText>
        </w:r>
        <w:r w:rsidR="000F768F">
          <w:rPr>
            <w:webHidden/>
          </w:rPr>
        </w:r>
        <w:r w:rsidR="000F768F">
          <w:rPr>
            <w:webHidden/>
          </w:rPr>
          <w:fldChar w:fldCharType="separate"/>
        </w:r>
        <w:r w:rsidR="004B30F2">
          <w:rPr>
            <w:webHidden/>
          </w:rPr>
          <w:t>52</w:t>
        </w:r>
        <w:r w:rsidR="000F768F">
          <w:rPr>
            <w:webHidden/>
          </w:rPr>
          <w:fldChar w:fldCharType="end"/>
        </w:r>
      </w:hyperlink>
    </w:p>
    <w:p w:rsidR="00460F68" w:rsidRDefault="00430DFB">
      <w:pPr>
        <w:pStyle w:val="TOC2"/>
        <w:rPr>
          <w:rFonts w:ascii="Calibri" w:hAnsi="Calibri" w:cs="Times New Roman"/>
          <w:sz w:val="22"/>
          <w:szCs w:val="22"/>
        </w:rPr>
      </w:pPr>
      <w:hyperlink w:anchor="_Toc285015636" w:history="1">
        <w:r w:rsidR="00460F68" w:rsidRPr="00625586">
          <w:rPr>
            <w:rStyle w:val="Hyperlink"/>
          </w:rPr>
          <w:t>Median Household Income</w:t>
        </w:r>
        <w:r w:rsidR="00460F68">
          <w:rPr>
            <w:webHidden/>
          </w:rPr>
          <w:tab/>
        </w:r>
        <w:r w:rsidR="000F768F">
          <w:rPr>
            <w:webHidden/>
          </w:rPr>
          <w:fldChar w:fldCharType="begin"/>
        </w:r>
        <w:r w:rsidR="00460F68">
          <w:rPr>
            <w:webHidden/>
          </w:rPr>
          <w:instrText xml:space="preserve"> PAGEREF _Toc285015636 \h </w:instrText>
        </w:r>
        <w:r w:rsidR="000F768F">
          <w:rPr>
            <w:webHidden/>
          </w:rPr>
        </w:r>
        <w:r w:rsidR="000F768F">
          <w:rPr>
            <w:webHidden/>
          </w:rPr>
          <w:fldChar w:fldCharType="separate"/>
        </w:r>
        <w:r w:rsidR="004B30F2">
          <w:rPr>
            <w:webHidden/>
          </w:rPr>
          <w:t>52</w:t>
        </w:r>
        <w:r w:rsidR="000F768F">
          <w:rPr>
            <w:webHidden/>
          </w:rPr>
          <w:fldChar w:fldCharType="end"/>
        </w:r>
      </w:hyperlink>
    </w:p>
    <w:p w:rsidR="00460F68" w:rsidRDefault="00430DFB">
      <w:pPr>
        <w:pStyle w:val="TOC2"/>
        <w:rPr>
          <w:rFonts w:ascii="Calibri" w:hAnsi="Calibri" w:cs="Times New Roman"/>
          <w:sz w:val="22"/>
          <w:szCs w:val="22"/>
        </w:rPr>
      </w:pPr>
      <w:hyperlink w:anchor="_Toc285015637" w:history="1">
        <w:r w:rsidR="00460F68" w:rsidRPr="00625586">
          <w:rPr>
            <w:rStyle w:val="Hyperlink"/>
          </w:rPr>
          <w:t>Financial Management Indicators</w:t>
        </w:r>
        <w:r w:rsidR="00460F68">
          <w:rPr>
            <w:webHidden/>
          </w:rPr>
          <w:tab/>
        </w:r>
        <w:r w:rsidR="000F768F">
          <w:rPr>
            <w:webHidden/>
          </w:rPr>
          <w:fldChar w:fldCharType="begin"/>
        </w:r>
        <w:r w:rsidR="00460F68">
          <w:rPr>
            <w:webHidden/>
          </w:rPr>
          <w:instrText xml:space="preserve"> PAGEREF _Toc285015637 \h </w:instrText>
        </w:r>
        <w:r w:rsidR="000F768F">
          <w:rPr>
            <w:webHidden/>
          </w:rPr>
        </w:r>
        <w:r w:rsidR="000F768F">
          <w:rPr>
            <w:webHidden/>
          </w:rPr>
          <w:fldChar w:fldCharType="separate"/>
        </w:r>
        <w:r w:rsidR="004B30F2">
          <w:rPr>
            <w:webHidden/>
          </w:rPr>
          <w:t>52</w:t>
        </w:r>
        <w:r w:rsidR="000F768F">
          <w:rPr>
            <w:webHidden/>
          </w:rPr>
          <w:fldChar w:fldCharType="end"/>
        </w:r>
      </w:hyperlink>
    </w:p>
    <w:p w:rsidR="00460F68" w:rsidRDefault="00430DFB">
      <w:pPr>
        <w:pStyle w:val="TOC2"/>
        <w:rPr>
          <w:rFonts w:ascii="Calibri" w:hAnsi="Calibri" w:cs="Times New Roman"/>
          <w:sz w:val="22"/>
          <w:szCs w:val="22"/>
        </w:rPr>
      </w:pPr>
      <w:hyperlink w:anchor="_Toc285015638" w:history="1">
        <w:r w:rsidR="00460F68" w:rsidRPr="00625586">
          <w:rPr>
            <w:rStyle w:val="Hyperlink"/>
          </w:rPr>
          <w:t>Property Tax and Collection Rate</w:t>
        </w:r>
        <w:r w:rsidR="00460F68">
          <w:rPr>
            <w:webHidden/>
          </w:rPr>
          <w:tab/>
        </w:r>
        <w:r w:rsidR="000F768F">
          <w:rPr>
            <w:webHidden/>
          </w:rPr>
          <w:fldChar w:fldCharType="begin"/>
        </w:r>
        <w:r w:rsidR="00460F68">
          <w:rPr>
            <w:webHidden/>
          </w:rPr>
          <w:instrText xml:space="preserve"> PAGEREF _Toc285015638 \h </w:instrText>
        </w:r>
        <w:r w:rsidR="000F768F">
          <w:rPr>
            <w:webHidden/>
          </w:rPr>
        </w:r>
        <w:r w:rsidR="000F768F">
          <w:rPr>
            <w:webHidden/>
          </w:rPr>
          <w:fldChar w:fldCharType="separate"/>
        </w:r>
        <w:r w:rsidR="004B30F2">
          <w:rPr>
            <w:webHidden/>
          </w:rPr>
          <w:t>53</w:t>
        </w:r>
        <w:r w:rsidR="000F768F">
          <w:rPr>
            <w:webHidden/>
          </w:rPr>
          <w:fldChar w:fldCharType="end"/>
        </w:r>
      </w:hyperlink>
    </w:p>
    <w:p w:rsidR="00460F68" w:rsidRDefault="00430DFB">
      <w:pPr>
        <w:pStyle w:val="TOC2"/>
        <w:rPr>
          <w:rFonts w:ascii="Calibri" w:hAnsi="Calibri" w:cs="Times New Roman"/>
          <w:sz w:val="22"/>
          <w:szCs w:val="22"/>
        </w:rPr>
      </w:pPr>
      <w:hyperlink w:anchor="_Toc285015639" w:history="1">
        <w:r w:rsidR="00460F68" w:rsidRPr="00625586">
          <w:rPr>
            <w:rStyle w:val="Hyperlink"/>
          </w:rPr>
          <w:t>Matrix Score: Analyzing Permittee Financial Capability Indicators</w:t>
        </w:r>
        <w:r w:rsidR="00460F68">
          <w:rPr>
            <w:webHidden/>
          </w:rPr>
          <w:tab/>
        </w:r>
        <w:r w:rsidR="000F768F">
          <w:rPr>
            <w:webHidden/>
          </w:rPr>
          <w:fldChar w:fldCharType="begin"/>
        </w:r>
        <w:r w:rsidR="00460F68">
          <w:rPr>
            <w:webHidden/>
          </w:rPr>
          <w:instrText xml:space="preserve"> PAGEREF _Toc285015639 \h </w:instrText>
        </w:r>
        <w:r w:rsidR="000F768F">
          <w:rPr>
            <w:webHidden/>
          </w:rPr>
        </w:r>
        <w:r w:rsidR="000F768F">
          <w:rPr>
            <w:webHidden/>
          </w:rPr>
          <w:fldChar w:fldCharType="separate"/>
        </w:r>
        <w:r w:rsidR="004B30F2">
          <w:rPr>
            <w:webHidden/>
          </w:rPr>
          <w:t>53</w:t>
        </w:r>
        <w:r w:rsidR="000F768F">
          <w:rPr>
            <w:webHidden/>
          </w:rPr>
          <w:fldChar w:fldCharType="end"/>
        </w:r>
      </w:hyperlink>
    </w:p>
    <w:p w:rsidR="00460F68" w:rsidRDefault="00430DFB">
      <w:pPr>
        <w:pStyle w:val="TOC1"/>
        <w:rPr>
          <w:rFonts w:ascii="Calibri" w:hAnsi="Calibri" w:cs="Times New Roman"/>
          <w:b w:val="0"/>
          <w:sz w:val="22"/>
          <w:szCs w:val="22"/>
        </w:rPr>
      </w:pPr>
      <w:hyperlink w:anchor="_Toc285015640" w:history="1">
        <w:r w:rsidR="00460F68" w:rsidRPr="00625586">
          <w:rPr>
            <w:rStyle w:val="Hyperlink"/>
          </w:rPr>
          <w:t>References</w:t>
        </w:r>
        <w:r w:rsidR="00460F68">
          <w:rPr>
            <w:webHidden/>
          </w:rPr>
          <w:tab/>
        </w:r>
        <w:r w:rsidR="000F768F">
          <w:rPr>
            <w:webHidden/>
          </w:rPr>
          <w:fldChar w:fldCharType="begin"/>
        </w:r>
        <w:r w:rsidR="00460F68">
          <w:rPr>
            <w:webHidden/>
          </w:rPr>
          <w:instrText xml:space="preserve"> PAGEREF _Toc285015640 \h </w:instrText>
        </w:r>
        <w:r w:rsidR="000F768F">
          <w:rPr>
            <w:webHidden/>
          </w:rPr>
        </w:r>
        <w:r w:rsidR="000F768F">
          <w:rPr>
            <w:webHidden/>
          </w:rPr>
          <w:fldChar w:fldCharType="separate"/>
        </w:r>
        <w:r w:rsidR="004B30F2">
          <w:rPr>
            <w:webHidden/>
          </w:rPr>
          <w:t>55</w:t>
        </w:r>
        <w:r w:rsidR="000F768F">
          <w:rPr>
            <w:webHidden/>
          </w:rPr>
          <w:fldChar w:fldCharType="end"/>
        </w:r>
      </w:hyperlink>
    </w:p>
    <w:p w:rsidR="00460F68" w:rsidRDefault="00430DFB">
      <w:pPr>
        <w:pStyle w:val="TOC1"/>
        <w:rPr>
          <w:rFonts w:ascii="Calibri" w:hAnsi="Calibri" w:cs="Times New Roman"/>
          <w:b w:val="0"/>
          <w:sz w:val="22"/>
          <w:szCs w:val="22"/>
        </w:rPr>
      </w:pPr>
      <w:hyperlink w:anchor="_Toc285015641" w:history="1">
        <w:r w:rsidR="00460F68" w:rsidRPr="00625586">
          <w:rPr>
            <w:rStyle w:val="Hyperlink"/>
          </w:rPr>
          <w:t>Glossary of Terms</w:t>
        </w:r>
        <w:r w:rsidR="00460F68">
          <w:rPr>
            <w:webHidden/>
          </w:rPr>
          <w:tab/>
        </w:r>
        <w:r w:rsidR="000F768F">
          <w:rPr>
            <w:webHidden/>
          </w:rPr>
          <w:fldChar w:fldCharType="begin"/>
        </w:r>
        <w:r w:rsidR="00460F68">
          <w:rPr>
            <w:webHidden/>
          </w:rPr>
          <w:instrText xml:space="preserve"> PAGEREF _Toc285015641 \h </w:instrText>
        </w:r>
        <w:r w:rsidR="000F768F">
          <w:rPr>
            <w:webHidden/>
          </w:rPr>
        </w:r>
        <w:r w:rsidR="000F768F">
          <w:rPr>
            <w:webHidden/>
          </w:rPr>
          <w:fldChar w:fldCharType="separate"/>
        </w:r>
        <w:r w:rsidR="004B30F2">
          <w:rPr>
            <w:webHidden/>
          </w:rPr>
          <w:t>56</w:t>
        </w:r>
        <w:r w:rsidR="000F768F">
          <w:rPr>
            <w:webHidden/>
          </w:rPr>
          <w:fldChar w:fldCharType="end"/>
        </w:r>
      </w:hyperlink>
    </w:p>
    <w:p w:rsidR="00460F68" w:rsidRDefault="00430DFB">
      <w:pPr>
        <w:pStyle w:val="TOC1"/>
        <w:rPr>
          <w:rFonts w:ascii="Calibri" w:hAnsi="Calibri" w:cs="Times New Roman"/>
          <w:b w:val="0"/>
          <w:sz w:val="22"/>
          <w:szCs w:val="22"/>
        </w:rPr>
      </w:pPr>
      <w:hyperlink w:anchor="_Toc285015642" w:history="1">
        <w:r w:rsidR="00460F68" w:rsidRPr="00625586">
          <w:rPr>
            <w:rStyle w:val="Hyperlink"/>
          </w:rPr>
          <w:t>Appendix A. One-Hour, 3-Month Rainfall Intensities, Schedule 4 – CSO Volume</w:t>
        </w:r>
        <w:r w:rsidR="00460F68">
          <w:rPr>
            <w:webHidden/>
          </w:rPr>
          <w:tab/>
        </w:r>
        <w:r w:rsidR="000F768F">
          <w:rPr>
            <w:webHidden/>
          </w:rPr>
          <w:fldChar w:fldCharType="begin"/>
        </w:r>
        <w:r w:rsidR="00460F68">
          <w:rPr>
            <w:webHidden/>
          </w:rPr>
          <w:instrText xml:space="preserve"> PAGEREF _Toc285015642 \h </w:instrText>
        </w:r>
        <w:r w:rsidR="000F768F">
          <w:rPr>
            <w:webHidden/>
          </w:rPr>
        </w:r>
        <w:r w:rsidR="000F768F">
          <w:rPr>
            <w:webHidden/>
          </w:rPr>
          <w:fldChar w:fldCharType="separate"/>
        </w:r>
        <w:r w:rsidR="004B30F2">
          <w:rPr>
            <w:webHidden/>
          </w:rPr>
          <w:t>A-1</w:t>
        </w:r>
        <w:r w:rsidR="000F768F">
          <w:rPr>
            <w:webHidden/>
          </w:rPr>
          <w:fldChar w:fldCharType="end"/>
        </w:r>
      </w:hyperlink>
    </w:p>
    <w:p w:rsidR="00460F68" w:rsidRDefault="00430DFB">
      <w:pPr>
        <w:pStyle w:val="TOC1"/>
        <w:rPr>
          <w:rFonts w:ascii="Calibri" w:hAnsi="Calibri" w:cs="Times New Roman"/>
          <w:b w:val="0"/>
          <w:sz w:val="22"/>
          <w:szCs w:val="22"/>
        </w:rPr>
      </w:pPr>
      <w:hyperlink w:anchor="_Toc285015643" w:history="1">
        <w:r w:rsidR="00460F68" w:rsidRPr="00625586">
          <w:rPr>
            <w:rStyle w:val="Hyperlink"/>
          </w:rPr>
          <w:t>Appendix B. Hydraulic Calculations within Green LTCP-EZ, Schedule 4 – CSO Volume, and Schedules 5A and 5B – CSO Control</w:t>
        </w:r>
        <w:r w:rsidR="00460F68">
          <w:rPr>
            <w:webHidden/>
          </w:rPr>
          <w:tab/>
        </w:r>
        <w:r w:rsidR="000F768F">
          <w:rPr>
            <w:webHidden/>
          </w:rPr>
          <w:fldChar w:fldCharType="begin"/>
        </w:r>
        <w:r w:rsidR="00460F68">
          <w:rPr>
            <w:webHidden/>
          </w:rPr>
          <w:instrText xml:space="preserve"> PAGEREF _Toc285015643 \h </w:instrText>
        </w:r>
        <w:r w:rsidR="000F768F">
          <w:rPr>
            <w:webHidden/>
          </w:rPr>
        </w:r>
        <w:r w:rsidR="000F768F">
          <w:rPr>
            <w:webHidden/>
          </w:rPr>
          <w:fldChar w:fldCharType="separate"/>
        </w:r>
        <w:r w:rsidR="004B30F2">
          <w:rPr>
            <w:webHidden/>
          </w:rPr>
          <w:t>B-1</w:t>
        </w:r>
        <w:r w:rsidR="000F768F">
          <w:rPr>
            <w:webHidden/>
          </w:rPr>
          <w:fldChar w:fldCharType="end"/>
        </w:r>
      </w:hyperlink>
    </w:p>
    <w:p w:rsidR="00460F68" w:rsidRDefault="00430DFB">
      <w:pPr>
        <w:pStyle w:val="TOC1"/>
        <w:rPr>
          <w:rFonts w:ascii="Calibri" w:hAnsi="Calibri" w:cs="Times New Roman"/>
          <w:b w:val="0"/>
          <w:sz w:val="22"/>
          <w:szCs w:val="22"/>
        </w:rPr>
      </w:pPr>
      <w:hyperlink w:anchor="_Toc285015644" w:history="1">
        <w:r w:rsidR="00460F68" w:rsidRPr="00625586">
          <w:rPr>
            <w:rStyle w:val="Hyperlink"/>
          </w:rPr>
          <w:t>Appendix C. Cost Estimates for Green LTCP-EZ Template, Schedules 5A and 5B – CSO Control</w:t>
        </w:r>
        <w:r w:rsidR="00460F68">
          <w:rPr>
            <w:webHidden/>
          </w:rPr>
          <w:tab/>
        </w:r>
        <w:r w:rsidR="000F768F">
          <w:rPr>
            <w:webHidden/>
          </w:rPr>
          <w:fldChar w:fldCharType="begin"/>
        </w:r>
        <w:r w:rsidR="00460F68">
          <w:rPr>
            <w:webHidden/>
          </w:rPr>
          <w:instrText xml:space="preserve"> PAGEREF _Toc285015644 \h </w:instrText>
        </w:r>
        <w:r w:rsidR="000F768F">
          <w:rPr>
            <w:webHidden/>
          </w:rPr>
        </w:r>
        <w:r w:rsidR="000F768F">
          <w:rPr>
            <w:webHidden/>
          </w:rPr>
          <w:fldChar w:fldCharType="separate"/>
        </w:r>
        <w:r w:rsidR="004B30F2">
          <w:rPr>
            <w:webHidden/>
          </w:rPr>
          <w:t>C-1</w:t>
        </w:r>
        <w:r w:rsidR="000F768F">
          <w:rPr>
            <w:webHidden/>
          </w:rPr>
          <w:fldChar w:fldCharType="end"/>
        </w:r>
      </w:hyperlink>
    </w:p>
    <w:p w:rsidR="00460F68" w:rsidRDefault="00430DFB">
      <w:pPr>
        <w:pStyle w:val="TOC1"/>
        <w:rPr>
          <w:rFonts w:ascii="Calibri" w:hAnsi="Calibri" w:cs="Times New Roman"/>
          <w:b w:val="0"/>
          <w:sz w:val="22"/>
          <w:szCs w:val="22"/>
        </w:rPr>
      </w:pPr>
      <w:hyperlink w:anchor="_Toc285015645" w:history="1">
        <w:r w:rsidR="00460F68" w:rsidRPr="00625586">
          <w:rPr>
            <w:rStyle w:val="Hyperlink"/>
          </w:rPr>
          <w:t>Appendix D. Green Infrastructure Runoff Controls Fact Sheets and Additional Information for Schedule 5A – CSO Runoff Control</w:t>
        </w:r>
        <w:r w:rsidR="00460F68">
          <w:rPr>
            <w:webHidden/>
          </w:rPr>
          <w:tab/>
        </w:r>
        <w:r w:rsidR="000F768F">
          <w:rPr>
            <w:webHidden/>
          </w:rPr>
          <w:fldChar w:fldCharType="begin"/>
        </w:r>
        <w:r w:rsidR="00460F68">
          <w:rPr>
            <w:webHidden/>
          </w:rPr>
          <w:instrText xml:space="preserve"> PAGEREF _Toc285015645 \h </w:instrText>
        </w:r>
        <w:r w:rsidR="000F768F">
          <w:rPr>
            <w:webHidden/>
          </w:rPr>
        </w:r>
        <w:r w:rsidR="000F768F">
          <w:rPr>
            <w:webHidden/>
          </w:rPr>
          <w:fldChar w:fldCharType="separate"/>
        </w:r>
        <w:r w:rsidR="004B30F2">
          <w:rPr>
            <w:webHidden/>
          </w:rPr>
          <w:t>D-1</w:t>
        </w:r>
        <w:r w:rsidR="000F768F">
          <w:rPr>
            <w:webHidden/>
          </w:rPr>
          <w:fldChar w:fldCharType="end"/>
        </w:r>
      </w:hyperlink>
    </w:p>
    <w:p w:rsidR="00E17BF3" w:rsidRPr="00FA6577" w:rsidRDefault="000F768F">
      <w:pPr>
        <w:rPr>
          <w:rStyle w:val="Bold"/>
        </w:rPr>
      </w:pPr>
      <w:r>
        <w:fldChar w:fldCharType="end"/>
      </w:r>
    </w:p>
    <w:p w:rsidR="00E17BF3" w:rsidRPr="00FA6577" w:rsidRDefault="00E17BF3">
      <w:pPr>
        <w:rPr>
          <w:rStyle w:val="Bold"/>
        </w:rPr>
      </w:pPr>
      <w:r w:rsidRPr="00FA6577">
        <w:rPr>
          <w:rStyle w:val="Bold"/>
        </w:rPr>
        <w:br w:type="page"/>
      </w:r>
    </w:p>
    <w:p w:rsidR="004F7A66" w:rsidRDefault="00CF16F1" w:rsidP="00FA6577">
      <w:pPr>
        <w:pStyle w:val="Heading1"/>
      </w:pPr>
      <w:bookmarkStart w:id="1" w:name="_Toc285015555"/>
      <w:r>
        <w:lastRenderedPageBreak/>
        <w:t>Acronyms and Abbreviations</w:t>
      </w:r>
      <w:bookmarkEnd w:id="1"/>
    </w:p>
    <w:p w:rsidR="004F7A66" w:rsidRPr="004F7A66" w:rsidRDefault="004F7A66" w:rsidP="004F7A66"/>
    <w:tbl>
      <w:tblPr>
        <w:tblW w:w="0" w:type="auto"/>
        <w:tblInd w:w="228" w:type="dxa"/>
        <w:tblLook w:val="01E0" w:firstRow="1" w:lastRow="1" w:firstColumn="1" w:lastColumn="1" w:noHBand="0" w:noVBand="0"/>
      </w:tblPr>
      <w:tblGrid>
        <w:gridCol w:w="1247"/>
        <w:gridCol w:w="8101"/>
      </w:tblGrid>
      <w:tr w:rsidR="004F7A66" w:rsidRPr="004F7A66" w:rsidTr="00CF36A9">
        <w:tc>
          <w:tcPr>
            <w:tcW w:w="1247" w:type="dxa"/>
          </w:tcPr>
          <w:p w:rsidR="004F7A66" w:rsidRPr="004F7A66" w:rsidRDefault="004F7A66" w:rsidP="00CF36A9">
            <w:pPr>
              <w:pStyle w:val="BodyText"/>
              <w:spacing w:before="60" w:after="60"/>
            </w:pPr>
            <w:r w:rsidRPr="004F7A66">
              <w:t>AF</w:t>
            </w:r>
          </w:p>
        </w:tc>
        <w:tc>
          <w:tcPr>
            <w:tcW w:w="8101" w:type="dxa"/>
          </w:tcPr>
          <w:p w:rsidR="004F7A66" w:rsidRPr="004F7A66" w:rsidRDefault="004F7A66" w:rsidP="00CF36A9">
            <w:pPr>
              <w:pStyle w:val="BodyText"/>
              <w:spacing w:before="60" w:after="60"/>
            </w:pPr>
            <w:r w:rsidRPr="004F7A66">
              <w:t>Annualization Factor</w:t>
            </w:r>
          </w:p>
        </w:tc>
      </w:tr>
      <w:tr w:rsidR="005C6A32" w:rsidRPr="004F7A66" w:rsidTr="00CF36A9">
        <w:tc>
          <w:tcPr>
            <w:tcW w:w="1247" w:type="dxa"/>
          </w:tcPr>
          <w:p w:rsidR="005C6A32" w:rsidRPr="004F7A66" w:rsidRDefault="005C6A32" w:rsidP="00CF36A9">
            <w:pPr>
              <w:pStyle w:val="BodyText"/>
              <w:spacing w:before="60" w:after="60"/>
            </w:pPr>
            <w:r>
              <w:t>CFR</w:t>
            </w:r>
          </w:p>
        </w:tc>
        <w:tc>
          <w:tcPr>
            <w:tcW w:w="8101" w:type="dxa"/>
          </w:tcPr>
          <w:p w:rsidR="005C6A32" w:rsidRPr="00FA6577" w:rsidRDefault="005C6A32" w:rsidP="00CF36A9">
            <w:pPr>
              <w:pStyle w:val="BodyText"/>
              <w:spacing w:before="60" w:after="60"/>
              <w:rPr>
                <w:rStyle w:val="italic"/>
              </w:rPr>
            </w:pPr>
            <w:r w:rsidRPr="00FA6577">
              <w:rPr>
                <w:rStyle w:val="italic"/>
              </w:rPr>
              <w:t>Code of Federal Regulations</w:t>
            </w:r>
          </w:p>
        </w:tc>
      </w:tr>
      <w:tr w:rsidR="004F7A66" w:rsidRPr="004F7A66" w:rsidTr="00CF36A9">
        <w:tc>
          <w:tcPr>
            <w:tcW w:w="1247" w:type="dxa"/>
          </w:tcPr>
          <w:p w:rsidR="004F7A66" w:rsidRPr="004F7A66" w:rsidRDefault="004F7A66" w:rsidP="00CF36A9">
            <w:pPr>
              <w:pStyle w:val="BodyText"/>
              <w:spacing w:before="60" w:after="60"/>
            </w:pPr>
            <w:r w:rsidRPr="004F7A66">
              <w:t>CPH</w:t>
            </w:r>
          </w:p>
        </w:tc>
        <w:tc>
          <w:tcPr>
            <w:tcW w:w="8101" w:type="dxa"/>
          </w:tcPr>
          <w:p w:rsidR="004F7A66" w:rsidRPr="004F7A66" w:rsidRDefault="004F7A66" w:rsidP="00CF36A9">
            <w:pPr>
              <w:pStyle w:val="BodyText"/>
              <w:spacing w:before="60" w:after="60"/>
            </w:pPr>
            <w:r w:rsidRPr="004F7A66">
              <w:t>Costs per Household</w:t>
            </w:r>
          </w:p>
        </w:tc>
      </w:tr>
      <w:tr w:rsidR="004F7A66" w:rsidRPr="004F7A66" w:rsidTr="00CF36A9">
        <w:tc>
          <w:tcPr>
            <w:tcW w:w="1247" w:type="dxa"/>
          </w:tcPr>
          <w:p w:rsidR="004F7A66" w:rsidRPr="004F7A66" w:rsidRDefault="009004F6" w:rsidP="00CF36A9">
            <w:pPr>
              <w:pStyle w:val="BodyText"/>
              <w:spacing w:before="60" w:after="60"/>
            </w:pPr>
            <w:r>
              <w:t>CPI</w:t>
            </w:r>
          </w:p>
        </w:tc>
        <w:tc>
          <w:tcPr>
            <w:tcW w:w="8101" w:type="dxa"/>
          </w:tcPr>
          <w:p w:rsidR="004F7A66" w:rsidRPr="004F7A66" w:rsidRDefault="004F7A66" w:rsidP="00CF36A9">
            <w:pPr>
              <w:pStyle w:val="BodyText"/>
              <w:spacing w:before="60" w:after="60"/>
            </w:pPr>
            <w:r w:rsidRPr="004F7A66">
              <w:t>Consumer Price Index</w:t>
            </w:r>
          </w:p>
        </w:tc>
      </w:tr>
      <w:tr w:rsidR="004F7A66" w:rsidRPr="004F7A66" w:rsidTr="00CF36A9">
        <w:tc>
          <w:tcPr>
            <w:tcW w:w="1247" w:type="dxa"/>
          </w:tcPr>
          <w:p w:rsidR="004F7A66" w:rsidRPr="004F7A66" w:rsidRDefault="004F7A66" w:rsidP="00CF36A9">
            <w:pPr>
              <w:pStyle w:val="BodyText"/>
              <w:spacing w:before="60" w:after="60"/>
            </w:pPr>
            <w:r w:rsidRPr="004F7A66">
              <w:t>CSO</w:t>
            </w:r>
          </w:p>
        </w:tc>
        <w:tc>
          <w:tcPr>
            <w:tcW w:w="8101" w:type="dxa"/>
          </w:tcPr>
          <w:p w:rsidR="004F7A66" w:rsidRPr="004F7A66" w:rsidRDefault="004F7A66" w:rsidP="00CF36A9">
            <w:pPr>
              <w:pStyle w:val="BodyText"/>
              <w:spacing w:before="60" w:after="60"/>
            </w:pPr>
            <w:r w:rsidRPr="004F7A66">
              <w:t>Combined Sewer Overflow</w:t>
            </w:r>
          </w:p>
        </w:tc>
      </w:tr>
      <w:tr w:rsidR="004F7A66" w:rsidRPr="004F7A66" w:rsidTr="00CF36A9">
        <w:tc>
          <w:tcPr>
            <w:tcW w:w="1247" w:type="dxa"/>
          </w:tcPr>
          <w:p w:rsidR="004F7A66" w:rsidRPr="004F7A66" w:rsidRDefault="004F7A66" w:rsidP="00CF36A9">
            <w:pPr>
              <w:pStyle w:val="BodyText"/>
              <w:spacing w:before="60" w:after="60"/>
            </w:pPr>
            <w:r w:rsidRPr="004F7A66">
              <w:t>CSS</w:t>
            </w:r>
          </w:p>
        </w:tc>
        <w:tc>
          <w:tcPr>
            <w:tcW w:w="8101" w:type="dxa"/>
          </w:tcPr>
          <w:p w:rsidR="004F7A66" w:rsidRPr="004F7A66" w:rsidRDefault="004F7A66" w:rsidP="00CF36A9">
            <w:pPr>
              <w:pStyle w:val="BodyText"/>
              <w:spacing w:before="60" w:after="60"/>
            </w:pPr>
            <w:r w:rsidRPr="004F7A66">
              <w:t>Combined Sewer System</w:t>
            </w:r>
          </w:p>
        </w:tc>
      </w:tr>
      <w:tr w:rsidR="004F7A66" w:rsidRPr="004F7A66" w:rsidTr="00CF36A9">
        <w:tc>
          <w:tcPr>
            <w:tcW w:w="1247" w:type="dxa"/>
          </w:tcPr>
          <w:p w:rsidR="004F7A66" w:rsidRPr="00835EBB" w:rsidRDefault="009004F6" w:rsidP="00CF36A9">
            <w:pPr>
              <w:pStyle w:val="BodyText"/>
              <w:spacing w:before="60" w:after="60"/>
            </w:pPr>
            <w:r w:rsidRPr="00835EBB">
              <w:t>DO</w:t>
            </w:r>
          </w:p>
        </w:tc>
        <w:tc>
          <w:tcPr>
            <w:tcW w:w="8101" w:type="dxa"/>
          </w:tcPr>
          <w:p w:rsidR="004F7A66" w:rsidRPr="00835EBB" w:rsidRDefault="004F7A66" w:rsidP="00CF36A9">
            <w:pPr>
              <w:pStyle w:val="BodyText"/>
              <w:spacing w:before="60" w:after="60"/>
            </w:pPr>
            <w:r w:rsidRPr="00835EBB">
              <w:t>Dissolved Oxygen</w:t>
            </w:r>
          </w:p>
        </w:tc>
      </w:tr>
      <w:tr w:rsidR="004F7A66" w:rsidRPr="004F7A66" w:rsidTr="00CF36A9">
        <w:tc>
          <w:tcPr>
            <w:tcW w:w="1247" w:type="dxa"/>
          </w:tcPr>
          <w:p w:rsidR="004F7A66" w:rsidRPr="004F7A66" w:rsidRDefault="009004F6" w:rsidP="00CF36A9">
            <w:pPr>
              <w:pStyle w:val="BodyText"/>
              <w:spacing w:before="60" w:after="60"/>
            </w:pPr>
            <w:r>
              <w:t>DMR</w:t>
            </w:r>
          </w:p>
        </w:tc>
        <w:tc>
          <w:tcPr>
            <w:tcW w:w="8101" w:type="dxa"/>
          </w:tcPr>
          <w:p w:rsidR="004F7A66" w:rsidRPr="004F7A66" w:rsidRDefault="004F7A66" w:rsidP="00CF36A9">
            <w:pPr>
              <w:pStyle w:val="BodyText"/>
              <w:spacing w:before="60" w:after="60"/>
            </w:pPr>
            <w:r w:rsidRPr="004F7A66">
              <w:t>Discharge Monitoring Report</w:t>
            </w:r>
          </w:p>
        </w:tc>
      </w:tr>
      <w:tr w:rsidR="004F7A66" w:rsidRPr="004F7A66" w:rsidTr="00CF36A9">
        <w:tc>
          <w:tcPr>
            <w:tcW w:w="1247" w:type="dxa"/>
          </w:tcPr>
          <w:p w:rsidR="004F7A66" w:rsidRPr="00835EBB" w:rsidRDefault="004F7A66" w:rsidP="00CF36A9">
            <w:pPr>
              <w:pStyle w:val="BodyText"/>
              <w:spacing w:before="60" w:after="60"/>
            </w:pPr>
            <w:r w:rsidRPr="00835EBB">
              <w:t>DWF</w:t>
            </w:r>
          </w:p>
        </w:tc>
        <w:tc>
          <w:tcPr>
            <w:tcW w:w="8101" w:type="dxa"/>
          </w:tcPr>
          <w:p w:rsidR="004F7A66" w:rsidRPr="00835EBB" w:rsidRDefault="004F7A66" w:rsidP="00CF36A9">
            <w:pPr>
              <w:pStyle w:val="BodyText"/>
              <w:spacing w:before="60" w:after="60"/>
            </w:pPr>
            <w:r w:rsidRPr="00835EBB">
              <w:t>Dry</w:t>
            </w:r>
            <w:r w:rsidR="00627DBA" w:rsidRPr="00835EBB">
              <w:t>-</w:t>
            </w:r>
            <w:r w:rsidRPr="00835EBB">
              <w:t>Weather Flow</w:t>
            </w:r>
          </w:p>
        </w:tc>
      </w:tr>
      <w:tr w:rsidR="004F7A66" w:rsidRPr="004F7A66" w:rsidTr="00CF36A9">
        <w:tc>
          <w:tcPr>
            <w:tcW w:w="1247" w:type="dxa"/>
          </w:tcPr>
          <w:p w:rsidR="004F7A66" w:rsidRPr="004F7A66" w:rsidRDefault="009004F6" w:rsidP="00CF36A9">
            <w:pPr>
              <w:pStyle w:val="BodyText"/>
              <w:spacing w:before="60" w:after="60"/>
            </w:pPr>
            <w:r>
              <w:t>EPA</w:t>
            </w:r>
          </w:p>
        </w:tc>
        <w:tc>
          <w:tcPr>
            <w:tcW w:w="8101" w:type="dxa"/>
          </w:tcPr>
          <w:p w:rsidR="004F7A66" w:rsidRPr="004F7A66" w:rsidRDefault="00627DBA" w:rsidP="00CF36A9">
            <w:pPr>
              <w:pStyle w:val="BodyText"/>
              <w:spacing w:before="60" w:after="60"/>
            </w:pPr>
            <w:smartTag w:uri="urn:schemas-microsoft-com:office:smarttags" w:element="place">
              <w:smartTag w:uri="urn:schemas-microsoft-com:office:smarttags" w:element="country-region">
                <w:r>
                  <w:t>U.</w:t>
                </w:r>
                <w:r w:rsidR="009004F6">
                  <w:t>S.</w:t>
                </w:r>
              </w:smartTag>
            </w:smartTag>
            <w:r w:rsidR="009004F6">
              <w:t xml:space="preserve"> </w:t>
            </w:r>
            <w:r w:rsidR="004F7A66" w:rsidRPr="004F7A66">
              <w:t>Environmental Protection Agency</w:t>
            </w:r>
          </w:p>
        </w:tc>
      </w:tr>
      <w:tr w:rsidR="004F7A66" w:rsidRPr="004F7A66" w:rsidTr="00CF36A9">
        <w:tc>
          <w:tcPr>
            <w:tcW w:w="1247" w:type="dxa"/>
          </w:tcPr>
          <w:p w:rsidR="004F7A66" w:rsidRPr="00835EBB" w:rsidRDefault="004F7A66" w:rsidP="00CF36A9">
            <w:pPr>
              <w:pStyle w:val="BodyText"/>
              <w:spacing w:before="60" w:after="60"/>
            </w:pPr>
            <w:r w:rsidRPr="00835EBB">
              <w:t>FWS</w:t>
            </w:r>
          </w:p>
        </w:tc>
        <w:tc>
          <w:tcPr>
            <w:tcW w:w="8101" w:type="dxa"/>
          </w:tcPr>
          <w:p w:rsidR="004F7A66" w:rsidRPr="00835EBB" w:rsidRDefault="009004F6" w:rsidP="00CF36A9">
            <w:pPr>
              <w:pStyle w:val="BodyText"/>
              <w:spacing w:before="60" w:after="60"/>
            </w:pPr>
            <w:smartTag w:uri="urn:schemas-microsoft-com:office:smarttags" w:element="place">
              <w:smartTag w:uri="urn:schemas-microsoft-com:office:smarttags" w:element="country-region">
                <w:r w:rsidRPr="00835EBB">
                  <w:t>U.S.</w:t>
                </w:r>
              </w:smartTag>
            </w:smartTag>
            <w:r w:rsidRPr="00835EBB">
              <w:t xml:space="preserve"> </w:t>
            </w:r>
            <w:r w:rsidR="004F7A66" w:rsidRPr="00835EBB">
              <w:t>Fish and Wildlife Service</w:t>
            </w:r>
          </w:p>
        </w:tc>
      </w:tr>
      <w:tr w:rsidR="00C44873" w:rsidRPr="004F7A66" w:rsidTr="00CF36A9">
        <w:tc>
          <w:tcPr>
            <w:tcW w:w="1247" w:type="dxa"/>
          </w:tcPr>
          <w:p w:rsidR="00C44873" w:rsidRPr="004F7A66" w:rsidRDefault="00C44873" w:rsidP="00CF36A9">
            <w:pPr>
              <w:pStyle w:val="BodyText"/>
              <w:spacing w:before="60" w:after="60"/>
            </w:pPr>
            <w:r>
              <w:t>G.O.</w:t>
            </w:r>
          </w:p>
        </w:tc>
        <w:tc>
          <w:tcPr>
            <w:tcW w:w="8101" w:type="dxa"/>
          </w:tcPr>
          <w:p w:rsidR="00C44873" w:rsidRDefault="00C44873" w:rsidP="00CF36A9">
            <w:pPr>
              <w:pStyle w:val="BodyText"/>
              <w:spacing w:before="60" w:after="60"/>
            </w:pPr>
            <w:r w:rsidRPr="00C44873">
              <w:t>General Obligation</w:t>
            </w:r>
          </w:p>
        </w:tc>
      </w:tr>
      <w:tr w:rsidR="004F7A66" w:rsidRPr="004F7A66" w:rsidTr="00CF36A9">
        <w:tc>
          <w:tcPr>
            <w:tcW w:w="1247" w:type="dxa"/>
          </w:tcPr>
          <w:p w:rsidR="004F7A66" w:rsidRPr="004F7A66" w:rsidRDefault="009004F6" w:rsidP="00CF36A9">
            <w:pPr>
              <w:pStyle w:val="BodyText"/>
              <w:spacing w:before="60" w:after="60"/>
            </w:pPr>
            <w:r>
              <w:t>I/I</w:t>
            </w:r>
          </w:p>
        </w:tc>
        <w:tc>
          <w:tcPr>
            <w:tcW w:w="8101" w:type="dxa"/>
          </w:tcPr>
          <w:p w:rsidR="004F7A66" w:rsidRPr="004F7A66" w:rsidRDefault="004F7A66" w:rsidP="00CF36A9">
            <w:pPr>
              <w:pStyle w:val="BodyText"/>
              <w:spacing w:before="60" w:after="60"/>
            </w:pPr>
            <w:r w:rsidRPr="004F7A66">
              <w:t>Inflow/Infiltration</w:t>
            </w:r>
          </w:p>
        </w:tc>
      </w:tr>
      <w:tr w:rsidR="004F7A66" w:rsidRPr="004F7A66" w:rsidTr="00CF36A9">
        <w:tc>
          <w:tcPr>
            <w:tcW w:w="1247" w:type="dxa"/>
          </w:tcPr>
          <w:p w:rsidR="004F7A66" w:rsidRPr="004F7A66" w:rsidRDefault="004F7A66" w:rsidP="00CF36A9">
            <w:pPr>
              <w:pStyle w:val="BodyText"/>
              <w:spacing w:before="60" w:after="60"/>
            </w:pPr>
            <w:r w:rsidRPr="004F7A66">
              <w:t>IR</w:t>
            </w:r>
          </w:p>
        </w:tc>
        <w:tc>
          <w:tcPr>
            <w:tcW w:w="8101" w:type="dxa"/>
          </w:tcPr>
          <w:p w:rsidR="004F7A66" w:rsidRPr="004F7A66" w:rsidRDefault="004F7A66" w:rsidP="00CF36A9">
            <w:pPr>
              <w:pStyle w:val="BodyText"/>
              <w:spacing w:before="60" w:after="60"/>
            </w:pPr>
            <w:r w:rsidRPr="004F7A66">
              <w:t>Interest Rate</w:t>
            </w:r>
          </w:p>
        </w:tc>
      </w:tr>
      <w:tr w:rsidR="004F7A66" w:rsidRPr="004F7A66" w:rsidTr="00CF36A9">
        <w:tc>
          <w:tcPr>
            <w:tcW w:w="1247" w:type="dxa"/>
          </w:tcPr>
          <w:p w:rsidR="004F7A66" w:rsidRPr="004F7A66" w:rsidRDefault="009004F6" w:rsidP="00CF36A9">
            <w:pPr>
              <w:pStyle w:val="BodyText"/>
              <w:spacing w:before="60" w:after="60"/>
            </w:pPr>
            <w:r>
              <w:t>LTCP</w:t>
            </w:r>
          </w:p>
        </w:tc>
        <w:tc>
          <w:tcPr>
            <w:tcW w:w="8101" w:type="dxa"/>
          </w:tcPr>
          <w:p w:rsidR="004F7A66" w:rsidRPr="004F7A66" w:rsidRDefault="004F7A66" w:rsidP="00CF36A9">
            <w:pPr>
              <w:pStyle w:val="BodyText"/>
              <w:spacing w:before="60" w:after="60"/>
            </w:pPr>
            <w:r w:rsidRPr="004F7A66">
              <w:t>Long-term Control Plan</w:t>
            </w:r>
          </w:p>
        </w:tc>
      </w:tr>
      <w:tr w:rsidR="004F7A66" w:rsidRPr="004F7A66" w:rsidTr="00CF36A9">
        <w:tc>
          <w:tcPr>
            <w:tcW w:w="1247" w:type="dxa"/>
          </w:tcPr>
          <w:p w:rsidR="004F7A66" w:rsidRPr="004F7A66" w:rsidRDefault="009004F6" w:rsidP="00CF36A9">
            <w:pPr>
              <w:pStyle w:val="BodyText"/>
              <w:spacing w:before="60" w:after="60"/>
            </w:pPr>
            <w:r>
              <w:t>MG</w:t>
            </w:r>
          </w:p>
        </w:tc>
        <w:tc>
          <w:tcPr>
            <w:tcW w:w="8101" w:type="dxa"/>
          </w:tcPr>
          <w:p w:rsidR="004F7A66" w:rsidRPr="004F7A66" w:rsidRDefault="004F7A66" w:rsidP="00CF36A9">
            <w:pPr>
              <w:pStyle w:val="BodyText"/>
              <w:spacing w:before="60" w:after="60"/>
            </w:pPr>
            <w:r w:rsidRPr="004F7A66">
              <w:t>Million Gallons</w:t>
            </w:r>
          </w:p>
        </w:tc>
      </w:tr>
      <w:tr w:rsidR="004F7A66" w:rsidRPr="004F7A66" w:rsidTr="00CF36A9">
        <w:tc>
          <w:tcPr>
            <w:tcW w:w="1247" w:type="dxa"/>
          </w:tcPr>
          <w:p w:rsidR="004F7A66" w:rsidRPr="004F7A66" w:rsidRDefault="009004F6" w:rsidP="00CF36A9">
            <w:pPr>
              <w:pStyle w:val="BodyText"/>
              <w:spacing w:before="60" w:after="60"/>
            </w:pPr>
            <w:r>
              <w:t>MGD</w:t>
            </w:r>
          </w:p>
        </w:tc>
        <w:tc>
          <w:tcPr>
            <w:tcW w:w="8101" w:type="dxa"/>
          </w:tcPr>
          <w:p w:rsidR="004F7A66" w:rsidRPr="004F7A66" w:rsidRDefault="004F7A66" w:rsidP="00CF36A9">
            <w:pPr>
              <w:pStyle w:val="BodyText"/>
              <w:spacing w:before="60" w:after="60"/>
            </w:pPr>
            <w:r w:rsidRPr="004F7A66">
              <w:t>Million Gallons per Day</w:t>
            </w:r>
          </w:p>
        </w:tc>
      </w:tr>
      <w:tr w:rsidR="004F7A66" w:rsidRPr="004F7A66" w:rsidTr="00CF36A9">
        <w:tc>
          <w:tcPr>
            <w:tcW w:w="1247" w:type="dxa"/>
          </w:tcPr>
          <w:p w:rsidR="004F7A66" w:rsidRPr="004F7A66" w:rsidRDefault="009004F6" w:rsidP="00CF36A9">
            <w:pPr>
              <w:pStyle w:val="BodyText"/>
              <w:spacing w:before="60" w:after="60"/>
            </w:pPr>
            <w:r>
              <w:t>MHI</w:t>
            </w:r>
          </w:p>
        </w:tc>
        <w:tc>
          <w:tcPr>
            <w:tcW w:w="8101" w:type="dxa"/>
          </w:tcPr>
          <w:p w:rsidR="004F7A66" w:rsidRPr="004F7A66" w:rsidRDefault="004F7A66" w:rsidP="00CF36A9">
            <w:pPr>
              <w:pStyle w:val="BodyText"/>
              <w:spacing w:before="60" w:after="60"/>
            </w:pPr>
            <w:r w:rsidRPr="004F7A66">
              <w:t>Median Household Income</w:t>
            </w:r>
          </w:p>
        </w:tc>
      </w:tr>
      <w:tr w:rsidR="009B2A3B" w:rsidRPr="004F7A66" w:rsidTr="00CF36A9">
        <w:tc>
          <w:tcPr>
            <w:tcW w:w="1247" w:type="dxa"/>
          </w:tcPr>
          <w:p w:rsidR="009B2A3B" w:rsidRDefault="009B2A3B" w:rsidP="00CF36A9">
            <w:pPr>
              <w:pStyle w:val="BodyText"/>
              <w:spacing w:before="60" w:after="60"/>
            </w:pPr>
            <w:r>
              <w:t>MPV</w:t>
            </w:r>
          </w:p>
        </w:tc>
        <w:tc>
          <w:tcPr>
            <w:tcW w:w="8101" w:type="dxa"/>
          </w:tcPr>
          <w:p w:rsidR="009B2A3B" w:rsidRPr="004F7A66" w:rsidRDefault="009B2A3B" w:rsidP="00CF36A9">
            <w:pPr>
              <w:pStyle w:val="BodyText"/>
              <w:spacing w:before="60" w:after="60"/>
            </w:pPr>
            <w:r w:rsidRPr="009B2A3B">
              <w:t>Market Property Value</w:t>
            </w:r>
          </w:p>
        </w:tc>
      </w:tr>
      <w:tr w:rsidR="004F7A66" w:rsidRPr="004F7A66" w:rsidTr="00CF36A9">
        <w:tc>
          <w:tcPr>
            <w:tcW w:w="1247" w:type="dxa"/>
          </w:tcPr>
          <w:p w:rsidR="004F7A66" w:rsidRPr="004F7A66" w:rsidRDefault="004F7A66" w:rsidP="00CF36A9">
            <w:pPr>
              <w:pStyle w:val="BodyText"/>
              <w:spacing w:before="60" w:after="60"/>
            </w:pPr>
            <w:r w:rsidRPr="004F7A66">
              <w:t>NOAA</w:t>
            </w:r>
          </w:p>
        </w:tc>
        <w:tc>
          <w:tcPr>
            <w:tcW w:w="8101" w:type="dxa"/>
          </w:tcPr>
          <w:p w:rsidR="004F7A66" w:rsidRPr="004F7A66" w:rsidRDefault="004F7A66" w:rsidP="00CF36A9">
            <w:pPr>
              <w:pStyle w:val="BodyText"/>
              <w:spacing w:before="60" w:after="60"/>
            </w:pPr>
            <w:r w:rsidRPr="004F7A66">
              <w:t xml:space="preserve">National Oceanic and Atmospheric Administration </w:t>
            </w:r>
          </w:p>
        </w:tc>
      </w:tr>
      <w:tr w:rsidR="004F7A66" w:rsidRPr="004F7A66" w:rsidTr="00CF36A9">
        <w:tc>
          <w:tcPr>
            <w:tcW w:w="1247" w:type="dxa"/>
          </w:tcPr>
          <w:p w:rsidR="004F7A66" w:rsidRPr="004F7A66" w:rsidRDefault="004F7A66" w:rsidP="00CF36A9">
            <w:pPr>
              <w:pStyle w:val="BodyText"/>
              <w:spacing w:before="60" w:after="60"/>
            </w:pPr>
            <w:r w:rsidRPr="004F7A66">
              <w:t>NMC</w:t>
            </w:r>
          </w:p>
        </w:tc>
        <w:tc>
          <w:tcPr>
            <w:tcW w:w="8101" w:type="dxa"/>
          </w:tcPr>
          <w:p w:rsidR="004F7A66" w:rsidRPr="004F7A66" w:rsidRDefault="004F7A66" w:rsidP="00CF36A9">
            <w:pPr>
              <w:pStyle w:val="BodyText"/>
              <w:spacing w:before="60" w:after="60"/>
            </w:pPr>
            <w:r w:rsidRPr="004F7A66">
              <w:t>Nine Minimum Controls</w:t>
            </w:r>
          </w:p>
        </w:tc>
      </w:tr>
      <w:tr w:rsidR="004F7A66" w:rsidRPr="004F7A66" w:rsidTr="00CF36A9">
        <w:tc>
          <w:tcPr>
            <w:tcW w:w="1247" w:type="dxa"/>
          </w:tcPr>
          <w:p w:rsidR="004F7A66" w:rsidRPr="00835EBB" w:rsidRDefault="004F7A66" w:rsidP="00CF36A9">
            <w:pPr>
              <w:pStyle w:val="BodyText"/>
              <w:spacing w:before="60" w:after="60"/>
            </w:pPr>
            <w:r w:rsidRPr="00835EBB">
              <w:t>NMFS</w:t>
            </w:r>
          </w:p>
        </w:tc>
        <w:tc>
          <w:tcPr>
            <w:tcW w:w="8101" w:type="dxa"/>
          </w:tcPr>
          <w:p w:rsidR="004F7A66" w:rsidRPr="00835EBB" w:rsidRDefault="004F7A66" w:rsidP="00CF36A9">
            <w:pPr>
              <w:pStyle w:val="BodyText"/>
              <w:spacing w:before="60" w:after="60"/>
            </w:pPr>
            <w:r w:rsidRPr="00835EBB">
              <w:t>National Marine Fisheries Service</w:t>
            </w:r>
          </w:p>
        </w:tc>
      </w:tr>
      <w:tr w:rsidR="004F7A66" w:rsidRPr="00CF36A9" w:rsidTr="00CF36A9">
        <w:tc>
          <w:tcPr>
            <w:tcW w:w="1247" w:type="dxa"/>
          </w:tcPr>
          <w:p w:rsidR="004F7A66" w:rsidRPr="004F7A66" w:rsidRDefault="004F7A66" w:rsidP="00CF36A9">
            <w:pPr>
              <w:pStyle w:val="BodyText"/>
              <w:spacing w:before="60" w:after="60"/>
            </w:pPr>
            <w:r w:rsidRPr="004F7A66">
              <w:t>NPDES</w:t>
            </w:r>
          </w:p>
        </w:tc>
        <w:tc>
          <w:tcPr>
            <w:tcW w:w="8101" w:type="dxa"/>
          </w:tcPr>
          <w:p w:rsidR="004F7A66" w:rsidRPr="00CF36A9" w:rsidRDefault="004F7A66" w:rsidP="00CF36A9">
            <w:pPr>
              <w:pStyle w:val="BodyText"/>
              <w:spacing w:before="60" w:after="60"/>
              <w:rPr>
                <w:lang w:val="fr-FR"/>
              </w:rPr>
            </w:pPr>
            <w:r w:rsidRPr="00CF36A9">
              <w:rPr>
                <w:lang w:val="fr-FR"/>
              </w:rPr>
              <w:t>National Pollutant Discharge Elimination System</w:t>
            </w:r>
          </w:p>
        </w:tc>
      </w:tr>
      <w:tr w:rsidR="008B1462" w:rsidRPr="004F7A66" w:rsidTr="00CF36A9">
        <w:tc>
          <w:tcPr>
            <w:tcW w:w="1247" w:type="dxa"/>
          </w:tcPr>
          <w:p w:rsidR="008B1462" w:rsidRPr="004F7A66" w:rsidRDefault="008B1462" w:rsidP="00CF36A9">
            <w:pPr>
              <w:pStyle w:val="BodyText"/>
              <w:spacing w:before="60" w:after="60"/>
            </w:pPr>
            <w:r>
              <w:t>O&amp;M</w:t>
            </w:r>
          </w:p>
        </w:tc>
        <w:tc>
          <w:tcPr>
            <w:tcW w:w="8101" w:type="dxa"/>
          </w:tcPr>
          <w:p w:rsidR="008B1462" w:rsidRPr="004F7A66" w:rsidRDefault="008B1462" w:rsidP="00CF36A9">
            <w:pPr>
              <w:pStyle w:val="BodyText"/>
              <w:spacing w:before="60" w:after="60"/>
            </w:pPr>
            <w:r>
              <w:t>Operation and Maintenance</w:t>
            </w:r>
          </w:p>
        </w:tc>
      </w:tr>
      <w:tr w:rsidR="004F7A66" w:rsidRPr="004F7A66" w:rsidTr="00CF36A9">
        <w:tc>
          <w:tcPr>
            <w:tcW w:w="1247" w:type="dxa"/>
          </w:tcPr>
          <w:p w:rsidR="004F7A66" w:rsidRPr="004F7A66" w:rsidRDefault="004F7A66" w:rsidP="00CF36A9">
            <w:pPr>
              <w:pStyle w:val="BodyText"/>
              <w:spacing w:before="60" w:after="60"/>
            </w:pPr>
            <w:r w:rsidRPr="004F7A66">
              <w:t>POTW</w:t>
            </w:r>
          </w:p>
        </w:tc>
        <w:tc>
          <w:tcPr>
            <w:tcW w:w="8101" w:type="dxa"/>
          </w:tcPr>
          <w:p w:rsidR="004F7A66" w:rsidRPr="004F7A66" w:rsidRDefault="004F7A66" w:rsidP="00CF36A9">
            <w:pPr>
              <w:pStyle w:val="BodyText"/>
              <w:spacing w:before="60" w:after="60"/>
            </w:pPr>
            <w:r w:rsidRPr="004F7A66">
              <w:t>Publicly Owned Treatment Works</w:t>
            </w:r>
          </w:p>
        </w:tc>
      </w:tr>
      <w:tr w:rsidR="004F7A66" w:rsidRPr="004F7A66" w:rsidTr="00CF36A9">
        <w:tc>
          <w:tcPr>
            <w:tcW w:w="1247" w:type="dxa"/>
          </w:tcPr>
          <w:p w:rsidR="004F7A66" w:rsidRPr="004F7A66" w:rsidRDefault="004F7A66" w:rsidP="00CF36A9">
            <w:pPr>
              <w:pStyle w:val="BodyText"/>
              <w:spacing w:before="60" w:after="60"/>
            </w:pPr>
            <w:r w:rsidRPr="004F7A66">
              <w:t>TMDL</w:t>
            </w:r>
          </w:p>
        </w:tc>
        <w:tc>
          <w:tcPr>
            <w:tcW w:w="8101" w:type="dxa"/>
          </w:tcPr>
          <w:p w:rsidR="004F7A66" w:rsidRPr="004F7A66" w:rsidRDefault="004F7A66" w:rsidP="00CF36A9">
            <w:pPr>
              <w:pStyle w:val="BodyText"/>
              <w:spacing w:before="60" w:after="60"/>
            </w:pPr>
            <w:r w:rsidRPr="004F7A66">
              <w:t>Total Maximum Daily Load</w:t>
            </w:r>
          </w:p>
        </w:tc>
      </w:tr>
      <w:tr w:rsidR="004F7A66" w:rsidRPr="004F7A66" w:rsidTr="00CF36A9">
        <w:tc>
          <w:tcPr>
            <w:tcW w:w="1247" w:type="dxa"/>
          </w:tcPr>
          <w:p w:rsidR="004F7A66" w:rsidRPr="00835EBB" w:rsidRDefault="004F7A66" w:rsidP="00CF36A9">
            <w:pPr>
              <w:pStyle w:val="BodyText"/>
              <w:spacing w:before="60" w:after="60"/>
            </w:pPr>
            <w:r w:rsidRPr="00835EBB">
              <w:t>TSS</w:t>
            </w:r>
          </w:p>
        </w:tc>
        <w:tc>
          <w:tcPr>
            <w:tcW w:w="8101" w:type="dxa"/>
          </w:tcPr>
          <w:p w:rsidR="004F7A66" w:rsidRPr="00835EBB" w:rsidRDefault="004F7A66" w:rsidP="00CF36A9">
            <w:pPr>
              <w:pStyle w:val="BodyText"/>
              <w:spacing w:before="60" w:after="60"/>
            </w:pPr>
            <w:r w:rsidRPr="00835EBB">
              <w:t>Total Suspended Solids</w:t>
            </w:r>
          </w:p>
        </w:tc>
      </w:tr>
      <w:tr w:rsidR="004F7A66" w:rsidRPr="004F7A66" w:rsidTr="00CF36A9">
        <w:tc>
          <w:tcPr>
            <w:tcW w:w="1247" w:type="dxa"/>
          </w:tcPr>
          <w:p w:rsidR="004F7A66" w:rsidRPr="00835EBB" w:rsidRDefault="004F7A66" w:rsidP="00CF36A9">
            <w:pPr>
              <w:pStyle w:val="BodyText"/>
              <w:spacing w:before="60" w:after="60"/>
            </w:pPr>
            <w:r w:rsidRPr="00835EBB">
              <w:t>WQS</w:t>
            </w:r>
          </w:p>
        </w:tc>
        <w:tc>
          <w:tcPr>
            <w:tcW w:w="8101" w:type="dxa"/>
          </w:tcPr>
          <w:p w:rsidR="004F7A66" w:rsidRPr="00835EBB" w:rsidRDefault="004F7A66" w:rsidP="00CF36A9">
            <w:pPr>
              <w:pStyle w:val="BodyText"/>
              <w:spacing w:before="60" w:after="60"/>
            </w:pPr>
            <w:r w:rsidRPr="00835EBB">
              <w:t>Water Quality Standards</w:t>
            </w:r>
          </w:p>
        </w:tc>
      </w:tr>
      <w:tr w:rsidR="004F7A66" w:rsidRPr="004F7A66" w:rsidTr="00CF36A9">
        <w:tc>
          <w:tcPr>
            <w:tcW w:w="1247" w:type="dxa"/>
          </w:tcPr>
          <w:p w:rsidR="004F7A66" w:rsidRPr="004F7A66" w:rsidRDefault="004F7A66" w:rsidP="00CF36A9">
            <w:pPr>
              <w:pStyle w:val="BodyText"/>
              <w:spacing w:before="60" w:after="60"/>
            </w:pPr>
            <w:r w:rsidRPr="004F7A66">
              <w:t>WWT</w:t>
            </w:r>
          </w:p>
        </w:tc>
        <w:tc>
          <w:tcPr>
            <w:tcW w:w="8101" w:type="dxa"/>
          </w:tcPr>
          <w:p w:rsidR="004F7A66" w:rsidRPr="004F7A66" w:rsidRDefault="004F7A66" w:rsidP="00CF36A9">
            <w:pPr>
              <w:pStyle w:val="BodyText"/>
              <w:spacing w:before="60" w:after="60"/>
            </w:pPr>
            <w:r w:rsidRPr="004F7A66">
              <w:t>Wastewater Treatment</w:t>
            </w:r>
          </w:p>
        </w:tc>
      </w:tr>
      <w:tr w:rsidR="004F7A66" w:rsidRPr="004F7A66" w:rsidTr="00CF36A9">
        <w:tc>
          <w:tcPr>
            <w:tcW w:w="1247" w:type="dxa"/>
          </w:tcPr>
          <w:p w:rsidR="004F7A66" w:rsidRPr="004F7A66" w:rsidRDefault="004F7A66" w:rsidP="00CF36A9">
            <w:pPr>
              <w:pStyle w:val="BodyText"/>
              <w:spacing w:before="60" w:after="60"/>
            </w:pPr>
            <w:r w:rsidRPr="004F7A66">
              <w:t>WWTP</w:t>
            </w:r>
          </w:p>
        </w:tc>
        <w:tc>
          <w:tcPr>
            <w:tcW w:w="8101" w:type="dxa"/>
          </w:tcPr>
          <w:p w:rsidR="004F7A66" w:rsidRPr="004F7A66" w:rsidRDefault="004F7A66" w:rsidP="00CF36A9">
            <w:pPr>
              <w:pStyle w:val="BodyText"/>
              <w:spacing w:before="60" w:after="60"/>
            </w:pPr>
            <w:r w:rsidRPr="004F7A66">
              <w:t>Wastewater Treatment Plant</w:t>
            </w:r>
          </w:p>
        </w:tc>
      </w:tr>
    </w:tbl>
    <w:p w:rsidR="004F7A66" w:rsidRDefault="004F7A66">
      <w:pPr>
        <w:pStyle w:val="Norma"/>
        <w:spacing w:before="180" w:after="180"/>
        <w:rPr>
          <w:szCs w:val="20"/>
        </w:rPr>
      </w:pPr>
    </w:p>
    <w:p w:rsidR="00E17BF3" w:rsidRDefault="00E17BF3">
      <w:pPr>
        <w:rPr>
          <w:rFonts w:cs="Arial"/>
          <w:szCs w:val="20"/>
        </w:rPr>
        <w:sectPr w:rsidR="00E17BF3" w:rsidSect="00627DBA">
          <w:headerReference w:type="even" r:id="rId16"/>
          <w:headerReference w:type="default" r:id="rId17"/>
          <w:endnotePr>
            <w:numFmt w:val="decimal"/>
            <w:numRestart w:val="eachSect"/>
          </w:endnotePr>
          <w:pgSz w:w="12240" w:h="15840" w:code="1"/>
          <w:pgMar w:top="1440" w:right="1440" w:bottom="1440" w:left="1440" w:header="720" w:footer="720" w:gutter="0"/>
          <w:pgNumType w:fmt="lowerRoman"/>
          <w:cols w:space="720"/>
          <w:docGrid w:linePitch="360"/>
        </w:sectPr>
      </w:pPr>
    </w:p>
    <w:p w:rsidR="0062037C" w:rsidRDefault="00CF16F1" w:rsidP="002709A2">
      <w:pPr>
        <w:pStyle w:val="Heading1"/>
      </w:pPr>
      <w:bookmarkStart w:id="2" w:name="_Toc243725228"/>
      <w:bookmarkStart w:id="3" w:name="_Toc243809405"/>
      <w:bookmarkStart w:id="4" w:name="_Toc285015556"/>
      <w:r>
        <w:lastRenderedPageBreak/>
        <w:t>Background</w:t>
      </w:r>
      <w:bookmarkEnd w:id="2"/>
      <w:bookmarkEnd w:id="3"/>
      <w:bookmarkEnd w:id="4"/>
    </w:p>
    <w:p w:rsidR="00E17BF3" w:rsidRDefault="00E17BF3" w:rsidP="00FA6577">
      <w:pPr>
        <w:pStyle w:val="Heading2"/>
      </w:pPr>
      <w:bookmarkStart w:id="5" w:name="_Toc285015557"/>
      <w:r>
        <w:t xml:space="preserve">What is the </w:t>
      </w:r>
      <w:r w:rsidR="00D76F0D">
        <w:t xml:space="preserve">Green </w:t>
      </w:r>
      <w:r>
        <w:t>LTCP-EZ Te</w:t>
      </w:r>
      <w:r w:rsidR="003537B4">
        <w:t>mplate and what is its purpose?</w:t>
      </w:r>
      <w:bookmarkEnd w:id="5"/>
    </w:p>
    <w:p w:rsidR="00040380" w:rsidRDefault="00E17BF3" w:rsidP="00040380">
      <w:pPr>
        <w:pStyle w:val="BodyText"/>
      </w:pPr>
      <w:r>
        <w:t xml:space="preserve">The </w:t>
      </w:r>
      <w:r w:rsidR="003537B4">
        <w:t>C</w:t>
      </w:r>
      <w:r>
        <w:t xml:space="preserve">ombined </w:t>
      </w:r>
      <w:r w:rsidR="003537B4">
        <w:t>S</w:t>
      </w:r>
      <w:r>
        <w:t xml:space="preserve">ewer </w:t>
      </w:r>
      <w:r w:rsidR="003537B4">
        <w:t>O</w:t>
      </w:r>
      <w:r>
        <w:t xml:space="preserve">verflow (CSO) </w:t>
      </w:r>
      <w:r w:rsidR="00607A0C">
        <w:t xml:space="preserve">Green </w:t>
      </w:r>
      <w:r>
        <w:t xml:space="preserve">Long-Term Control Plan (LTCP) Template for Small Communities (termed the </w:t>
      </w:r>
      <w:r w:rsidR="00607A0C" w:rsidRPr="00FA6577">
        <w:rPr>
          <w:rStyle w:val="italic"/>
        </w:rPr>
        <w:t xml:space="preserve">Green </w:t>
      </w:r>
      <w:r w:rsidRPr="00FA6577">
        <w:rPr>
          <w:rStyle w:val="italic"/>
        </w:rPr>
        <w:t>LTCP-EZ Template</w:t>
      </w:r>
      <w:r>
        <w:t xml:space="preserve">) is a planning tool for small communities that </w:t>
      </w:r>
      <w:r w:rsidR="00407F46">
        <w:t xml:space="preserve">are </w:t>
      </w:r>
      <w:r>
        <w:t>require</w:t>
      </w:r>
      <w:r w:rsidR="00407F46">
        <w:t>d</w:t>
      </w:r>
      <w:r>
        <w:t xml:space="preserve"> to develop a</w:t>
      </w:r>
      <w:r w:rsidR="00607A0C">
        <w:t>n</w:t>
      </w:r>
      <w:r>
        <w:t xml:space="preserve"> LTCP to address CSOs. The </w:t>
      </w:r>
      <w:r w:rsidR="00D76F0D">
        <w:t xml:space="preserve">Green </w:t>
      </w:r>
      <w:r>
        <w:t>LTCP-EZ Template provides a framework for organiz</w:t>
      </w:r>
      <w:r w:rsidR="003537B4">
        <w:t>ing</w:t>
      </w:r>
      <w:r>
        <w:t xml:space="preserve"> and completin</w:t>
      </w:r>
      <w:r w:rsidR="003537B4">
        <w:t>g</w:t>
      </w:r>
      <w:r>
        <w:t xml:space="preserve"> a</w:t>
      </w:r>
      <w:r w:rsidR="00607A0C">
        <w:t>n</w:t>
      </w:r>
      <w:r>
        <w:t xml:space="preserve"> LTCP that builds on existing controls</w:t>
      </w:r>
      <w:r w:rsidR="00D76F0D">
        <w:t xml:space="preserve">, including the use of </w:t>
      </w:r>
      <w:r w:rsidR="00D6532B">
        <w:t xml:space="preserve">both </w:t>
      </w:r>
      <w:r w:rsidR="00D76F0D">
        <w:t xml:space="preserve">green </w:t>
      </w:r>
      <w:r w:rsidR="00D6532B">
        <w:t>and</w:t>
      </w:r>
      <w:r w:rsidR="003A7C1A">
        <w:t xml:space="preserve"> </w:t>
      </w:r>
      <w:r w:rsidR="00D6532B">
        <w:t xml:space="preserve">conventional </w:t>
      </w:r>
      <w:r w:rsidR="003A7C1A">
        <w:t>gray infrastructure</w:t>
      </w:r>
      <w:r w:rsidR="00D76F0D">
        <w:t>,</w:t>
      </w:r>
      <w:r>
        <w:t xml:space="preserve"> </w:t>
      </w:r>
      <w:r w:rsidR="00D6532B">
        <w:t>to assist in</w:t>
      </w:r>
      <w:r>
        <w:t xml:space="preserve"> the elimination or control of CSOs in accordance with the federal Clean Water Act</w:t>
      </w:r>
      <w:r w:rsidR="003537B4">
        <w:t xml:space="preserve"> (CWA)</w:t>
      </w:r>
      <w:r>
        <w:t xml:space="preserve">. Use of the </w:t>
      </w:r>
      <w:r w:rsidR="00D76F0D">
        <w:t xml:space="preserve">Green </w:t>
      </w:r>
      <w:r>
        <w:t xml:space="preserve">LTCP-EZ Template and completion of the forms and schedules associated with the </w:t>
      </w:r>
      <w:r w:rsidR="00D76F0D">
        <w:t xml:space="preserve">Green </w:t>
      </w:r>
      <w:r>
        <w:t xml:space="preserve">LTCP-EZ Template can </w:t>
      </w:r>
      <w:r w:rsidR="00D6532B">
        <w:t xml:space="preserve">help </w:t>
      </w:r>
      <w:r>
        <w:t>produce a Draft LTCP</w:t>
      </w:r>
      <w:r w:rsidR="0062037C">
        <w:t>.</w:t>
      </w:r>
    </w:p>
    <w:p w:rsidR="00DF50DF" w:rsidRDefault="00A663E9" w:rsidP="00FA6577">
      <w:pPr>
        <w:pStyle w:val="BodyText"/>
      </w:pPr>
      <w:r>
        <w:t xml:space="preserve">In May 2007, </w:t>
      </w:r>
      <w:r w:rsidR="003A7C1A">
        <w:t xml:space="preserve">U.S. </w:t>
      </w:r>
      <w:r>
        <w:t>EPA developed a</w:t>
      </w:r>
      <w:r w:rsidR="003A7C1A">
        <w:t xml:space="preserve"> planning tool (LTCP-EZ) for small CSO communities to </w:t>
      </w:r>
      <w:r w:rsidR="00B53B18">
        <w:t>design long</w:t>
      </w:r>
      <w:r w:rsidR="003A7C1A">
        <w:t>-term CSO control plan</w:t>
      </w:r>
      <w:r w:rsidR="002B06A0">
        <w:t>s</w:t>
      </w:r>
      <w:r w:rsidR="003A7C1A">
        <w:t xml:space="preserve"> using conventional gray</w:t>
      </w:r>
      <w:r w:rsidR="00B34FD3">
        <w:t xml:space="preserve"> CSO </w:t>
      </w:r>
      <w:r w:rsidR="003A7C1A">
        <w:t>controls</w:t>
      </w:r>
      <w:r w:rsidR="00040380">
        <w:t xml:space="preserve">.  </w:t>
      </w:r>
      <w:r w:rsidR="00D145D5">
        <w:t xml:space="preserve">The Green LTCP-EZ Template is an updated version of the original in that it adds </w:t>
      </w:r>
      <w:r w:rsidR="00D145D5" w:rsidRPr="00040380">
        <w:rPr>
          <w:lang w:bidi="en-US"/>
        </w:rPr>
        <w:t>several green</w:t>
      </w:r>
      <w:r w:rsidR="00D145D5">
        <w:rPr>
          <w:lang w:bidi="en-US"/>
        </w:rPr>
        <w:t xml:space="preserve"> infrastructure</w:t>
      </w:r>
      <w:r w:rsidR="00D145D5" w:rsidRPr="00040380">
        <w:rPr>
          <w:lang w:bidi="en-US"/>
        </w:rPr>
        <w:t xml:space="preserve"> practices</w:t>
      </w:r>
      <w:r w:rsidR="00D145D5">
        <w:rPr>
          <w:lang w:bidi="en-US"/>
        </w:rPr>
        <w:t>, such as g</w:t>
      </w:r>
      <w:r w:rsidR="00D145D5" w:rsidRPr="00040380">
        <w:t>reen roofs</w:t>
      </w:r>
      <w:r w:rsidR="00D145D5">
        <w:t>, v</w:t>
      </w:r>
      <w:r w:rsidR="00D145D5" w:rsidRPr="00040380">
        <w:t xml:space="preserve">egetated </w:t>
      </w:r>
      <w:r w:rsidR="00D145D5">
        <w:t>s</w:t>
      </w:r>
      <w:r w:rsidR="00D145D5" w:rsidRPr="00040380">
        <w:t>wales</w:t>
      </w:r>
      <w:r w:rsidR="00D145D5">
        <w:t>, b</w:t>
      </w:r>
      <w:r w:rsidR="00D145D5" w:rsidRPr="00040380">
        <w:t>ioretention</w:t>
      </w:r>
      <w:r w:rsidR="00D145D5">
        <w:t xml:space="preserve"> basins, p</w:t>
      </w:r>
      <w:r w:rsidR="00D145D5" w:rsidRPr="00040380">
        <w:t>ervious pavement</w:t>
      </w:r>
      <w:r w:rsidR="00D145D5">
        <w:t xml:space="preserve">s, </w:t>
      </w:r>
      <w:r w:rsidR="00DF50DF">
        <w:t xml:space="preserve">and </w:t>
      </w:r>
      <w:r w:rsidR="00D145D5">
        <w:t>r</w:t>
      </w:r>
      <w:r w:rsidR="00D145D5" w:rsidRPr="00040380">
        <w:t>ain barrels</w:t>
      </w:r>
      <w:r w:rsidR="00D145D5">
        <w:t>, in addition to conventional gray CSO controls</w:t>
      </w:r>
      <w:r w:rsidR="00DF50DF">
        <w:t>,</w:t>
      </w:r>
      <w:r w:rsidR="00D145D5">
        <w:t xml:space="preserve"> to design a CSO long-term control plan.  T</w:t>
      </w:r>
      <w:r w:rsidR="00A83932">
        <w:t xml:space="preserve">he Green LTCP-EZ can be used </w:t>
      </w:r>
      <w:r w:rsidR="00D145D5">
        <w:t xml:space="preserve">for communities who want to </w:t>
      </w:r>
      <w:r w:rsidR="00DF50DF">
        <w:t>a</w:t>
      </w:r>
      <w:r w:rsidR="00A83932">
        <w:t>ssess</w:t>
      </w:r>
      <w:r w:rsidR="00DF50DF">
        <w:t xml:space="preserve"> the potential for green infrastructure controls.  For communities who do not wish to assess the potential for green infrastructure, t</w:t>
      </w:r>
      <w:r w:rsidR="00040380">
        <w:t xml:space="preserve">he </w:t>
      </w:r>
      <w:r w:rsidR="00D145D5">
        <w:t xml:space="preserve">original </w:t>
      </w:r>
      <w:r w:rsidR="00040380">
        <w:t xml:space="preserve">LTCP-EZ Template </w:t>
      </w:r>
      <w:r w:rsidR="00DF50DF">
        <w:t xml:space="preserve">can still be used and </w:t>
      </w:r>
      <w:r w:rsidR="00040380">
        <w:t xml:space="preserve">is available at </w:t>
      </w:r>
      <w:hyperlink r:id="rId18" w:history="1">
        <w:r w:rsidR="00040380" w:rsidRPr="004945CE">
          <w:rPr>
            <w:rStyle w:val="Hyperlink"/>
          </w:rPr>
          <w:t>www.epa.gov/npdes/cso</w:t>
        </w:r>
      </w:hyperlink>
      <w:r w:rsidR="00040380">
        <w:t xml:space="preserve">.  </w:t>
      </w:r>
    </w:p>
    <w:p w:rsidR="00E17BF3" w:rsidRDefault="00040380" w:rsidP="00FA6577">
      <w:pPr>
        <w:pStyle w:val="BodyText"/>
      </w:pPr>
      <w:r>
        <w:t xml:space="preserve">Properly planned green practices </w:t>
      </w:r>
      <w:r w:rsidR="009F5C4A" w:rsidRPr="00864F90">
        <w:t>naturally manage stormwater, improve water quality</w:t>
      </w:r>
      <w:r w:rsidR="009F5C4A">
        <w:t xml:space="preserve"> and control</w:t>
      </w:r>
      <w:r w:rsidR="009F5C4A" w:rsidRPr="00B16DEF">
        <w:t xml:space="preserve"> </w:t>
      </w:r>
      <w:r w:rsidR="009F5C4A">
        <w:t xml:space="preserve">CSOs </w:t>
      </w:r>
      <w:r w:rsidR="00B53B18">
        <w:t>by keeping</w:t>
      </w:r>
      <w:r>
        <w:t xml:space="preserve"> water out of the collection systems</w:t>
      </w:r>
      <w:r w:rsidR="009F5C4A">
        <w:t xml:space="preserve">.  </w:t>
      </w:r>
      <w:r w:rsidR="00E17BF3">
        <w:t xml:space="preserve">The </w:t>
      </w:r>
      <w:r w:rsidR="00D76F0D">
        <w:t xml:space="preserve">Green </w:t>
      </w:r>
      <w:r w:rsidR="00E17BF3">
        <w:t xml:space="preserve">LTCP-EZ Template consists of FORM </w:t>
      </w:r>
      <w:r w:rsidR="00607A0C">
        <w:t xml:space="preserve">GREEN </w:t>
      </w:r>
      <w:r w:rsidR="00E17BF3">
        <w:t xml:space="preserve">LTCP-EZ and related schedules and instructions. It provides a starting place and a framework for small communities </w:t>
      </w:r>
      <w:r w:rsidR="00407F46">
        <w:t xml:space="preserve">to </w:t>
      </w:r>
      <w:r w:rsidR="00E17BF3">
        <w:t>organiz</w:t>
      </w:r>
      <w:r w:rsidR="00407F46">
        <w:t>e</w:t>
      </w:r>
      <w:r w:rsidR="00E17BF3">
        <w:t xml:space="preserve"> and analy</w:t>
      </w:r>
      <w:r w:rsidR="00407F46">
        <w:t>ze</w:t>
      </w:r>
      <w:r w:rsidR="00E17BF3">
        <w:t xml:space="preserve"> basic information that is central to effective CSO control planning. Specifically, FORM </w:t>
      </w:r>
      <w:r w:rsidR="00607A0C">
        <w:t xml:space="preserve">GREEN </w:t>
      </w:r>
      <w:r w:rsidR="00E17BF3">
        <w:t>LTCP-EZ and Schedules 1 – NINE MINIMUM CONTROLS, 2 – MAP, and 3 – PUBLIC PARTICIPATION</w:t>
      </w:r>
      <w:r w:rsidR="00407F46">
        <w:t>,</w:t>
      </w:r>
      <w:r w:rsidR="00E17BF3">
        <w:t xml:space="preserve"> allow organization of some of the basic information required to comply with the </w:t>
      </w:r>
      <w:r w:rsidR="00407F46">
        <w:t xml:space="preserve">1994 </w:t>
      </w:r>
      <w:r w:rsidR="00E17BF3">
        <w:t xml:space="preserve">CSO </w:t>
      </w:r>
      <w:r w:rsidR="00407F46">
        <w:t>Control P</w:t>
      </w:r>
      <w:r w:rsidR="00E17BF3">
        <w:t>olicy.</w:t>
      </w:r>
      <w:r w:rsidR="00407F46">
        <w:rPr>
          <w:rStyle w:val="FootnoteReference"/>
        </w:rPr>
        <w:footnoteReference w:id="1"/>
      </w:r>
      <w:r w:rsidR="00E17BF3">
        <w:t xml:space="preserve"> Schedule 4 </w:t>
      </w:r>
      <w:r w:rsidR="00E17BF3">
        <w:rPr>
          <w:iCs/>
        </w:rPr>
        <w:t>–</w:t>
      </w:r>
      <w:r w:rsidR="00E17BF3">
        <w:t xml:space="preserve"> CSO VOLUME provides a process for assessing CSO control needs under the </w:t>
      </w:r>
      <w:r w:rsidR="00E17BF3" w:rsidRPr="00FA6577">
        <w:rPr>
          <w:rStyle w:val="italic"/>
        </w:rPr>
        <w:t>presumption</w:t>
      </w:r>
      <w:r w:rsidR="00E17BF3" w:rsidRPr="004F7A66">
        <w:t xml:space="preserve"> </w:t>
      </w:r>
      <w:r w:rsidR="00E17BF3" w:rsidRPr="00FA6577">
        <w:rPr>
          <w:rStyle w:val="italic"/>
        </w:rPr>
        <w:t>approach</w:t>
      </w:r>
      <w:r w:rsidR="00463764">
        <w:rPr>
          <w:rStyle w:val="italic"/>
          <w:i w:val="0"/>
        </w:rPr>
        <w:t xml:space="preserve"> of the CSO Control Policy</w:t>
      </w:r>
      <w:r w:rsidR="00E17BF3">
        <w:t xml:space="preserve">. It allows the permittee or other user (the term </w:t>
      </w:r>
      <w:r w:rsidR="00E17BF3" w:rsidRPr="00FA6577">
        <w:rPr>
          <w:rStyle w:val="italic"/>
        </w:rPr>
        <w:t>permittee</w:t>
      </w:r>
      <w:r w:rsidR="00E17BF3">
        <w:t xml:space="preserve"> will be used throughout this document, but the term should be interpreted to include any users of the </w:t>
      </w:r>
      <w:r w:rsidR="00607A0C">
        <w:t>Green L</w:t>
      </w:r>
      <w:r w:rsidR="00E17BF3">
        <w:t>TCP-EZ Template) to estimate a target volume of combined sewage that needs to be stored, treated, or eliminated. Schedule</w:t>
      </w:r>
      <w:r w:rsidR="004D6ED7">
        <w:t>s</w:t>
      </w:r>
      <w:r w:rsidR="00E17BF3">
        <w:t xml:space="preserve"> 5</w:t>
      </w:r>
      <w:r w:rsidR="00E32832">
        <w:t>A</w:t>
      </w:r>
      <w:r w:rsidR="004D6ED7">
        <w:t xml:space="preserve"> and 5</w:t>
      </w:r>
      <w:r w:rsidR="00E32832">
        <w:t>B</w:t>
      </w:r>
      <w:r w:rsidR="00E17BF3">
        <w:t xml:space="preserve"> </w:t>
      </w:r>
      <w:r w:rsidR="00E17BF3">
        <w:rPr>
          <w:iCs/>
        </w:rPr>
        <w:t>–</w:t>
      </w:r>
      <w:r w:rsidR="00E17BF3">
        <w:t xml:space="preserve"> CSO </w:t>
      </w:r>
      <w:r w:rsidR="005E3D33">
        <w:t xml:space="preserve">RUNOFF, NETWORK AND WWTP </w:t>
      </w:r>
      <w:r w:rsidR="00E17BF3">
        <w:t>CONTROL</w:t>
      </w:r>
      <w:r w:rsidR="005E3D33">
        <w:t>S</w:t>
      </w:r>
      <w:r w:rsidR="00E17BF3">
        <w:t xml:space="preserve"> enable the permittee to evaluate the ability of a </w:t>
      </w:r>
      <w:r w:rsidR="004D6ED7">
        <w:t>number of</w:t>
      </w:r>
      <w:r w:rsidR="00E17BF3">
        <w:t xml:space="preserve"> widely used </w:t>
      </w:r>
      <w:r w:rsidR="00E32832">
        <w:t>green infrastructure</w:t>
      </w:r>
      <w:r w:rsidR="004D6ED7">
        <w:t xml:space="preserve"> runoff controls and pipe network </w:t>
      </w:r>
      <w:r w:rsidR="00E17BF3">
        <w:t xml:space="preserve">CSO controls to meet the reduction target. Finally, Schedule 6 – CSO </w:t>
      </w:r>
      <w:r w:rsidR="007F1BE4">
        <w:t xml:space="preserve">FINANCIAL </w:t>
      </w:r>
      <w:r w:rsidR="00992743">
        <w:t>CAPABILITY</w:t>
      </w:r>
      <w:r w:rsidR="00E17BF3">
        <w:t xml:space="preserve"> provides a </w:t>
      </w:r>
      <w:r w:rsidR="007D245F">
        <w:t>U.S. Environmental Protection Agency (EPA)</w:t>
      </w:r>
      <w:r w:rsidR="00E17BF3">
        <w:t xml:space="preserve"> </w:t>
      </w:r>
      <w:r w:rsidR="003D7262">
        <w:t>f</w:t>
      </w:r>
      <w:r w:rsidR="007F1BE4">
        <w:t xml:space="preserve">inancial </w:t>
      </w:r>
      <w:r w:rsidR="003D7262">
        <w:t>c</w:t>
      </w:r>
      <w:r w:rsidR="00992743">
        <w:t>apability</w:t>
      </w:r>
      <w:r w:rsidR="00E17BF3">
        <w:t xml:space="preserve"> analysis to determine the community’s financial capabilities. Permittees are free to use FORM </w:t>
      </w:r>
      <w:r w:rsidR="00607A0C">
        <w:t xml:space="preserve">GREEN </w:t>
      </w:r>
      <w:r w:rsidR="00E17BF3">
        <w:t xml:space="preserve">LTCP-EZ and as many schedules as needed to meet their local needs and requirements. FORM </w:t>
      </w:r>
      <w:r w:rsidR="00607A0C">
        <w:t xml:space="preserve">GREEN </w:t>
      </w:r>
      <w:r w:rsidR="00E17BF3">
        <w:t>LTCP-EZ and its schedules are available in hard copy format or as computer-based spreadsheets.</w:t>
      </w:r>
    </w:p>
    <w:p w:rsidR="0062037C" w:rsidRDefault="00E17BF3" w:rsidP="00FA6577">
      <w:pPr>
        <w:pStyle w:val="BodyText"/>
      </w:pPr>
      <w:r>
        <w:t xml:space="preserve">This publication provides background information on the CSO Control Policy and explains the data and information requirements, technical assessments, and calculations that are addressed in the </w:t>
      </w:r>
      <w:r w:rsidR="00D76F0D">
        <w:t xml:space="preserve">Green </w:t>
      </w:r>
      <w:r>
        <w:t>LTCP-EZ Template and are necessary for its application</w:t>
      </w:r>
      <w:r w:rsidR="0062037C">
        <w:t>.</w:t>
      </w:r>
    </w:p>
    <w:p w:rsidR="00E17BF3" w:rsidRDefault="00E17BF3" w:rsidP="00FA6577">
      <w:pPr>
        <w:pStyle w:val="Heading2"/>
      </w:pPr>
      <w:bookmarkStart w:id="6" w:name="_Toc285015558"/>
      <w:r>
        <w:t xml:space="preserve">What is the </w:t>
      </w:r>
      <w:r w:rsidR="003537B4">
        <w:t xml:space="preserve">relationship between </w:t>
      </w:r>
      <w:r w:rsidR="00196ABA">
        <w:t xml:space="preserve">the Green </w:t>
      </w:r>
      <w:r>
        <w:t>LTCP-EZ and the CSO Control Policy?</w:t>
      </w:r>
      <w:bookmarkEnd w:id="6"/>
    </w:p>
    <w:p w:rsidR="00E17BF3" w:rsidRDefault="000F768F" w:rsidP="00FA6577">
      <w:pPr>
        <w:pStyle w:val="BodyText"/>
      </w:pPr>
      <w:r>
        <w:rPr>
          <w:lang w:val="en-CA"/>
        </w:rPr>
        <w:fldChar w:fldCharType="begin"/>
      </w:r>
      <w:r w:rsidR="00E17BF3">
        <w:rPr>
          <w:lang w:val="en-CA"/>
        </w:rPr>
        <w:instrText xml:space="preserve"> SEQ CHAPTER \h \r 1</w:instrText>
      </w:r>
      <w:r>
        <w:rPr>
          <w:lang w:val="en-CA"/>
        </w:rPr>
        <w:fldChar w:fldCharType="end"/>
      </w:r>
      <w:r w:rsidR="003537B4">
        <w:t>CWA</w:t>
      </w:r>
      <w:r w:rsidR="00E17BF3">
        <w:t xml:space="preserve"> </w:t>
      </w:r>
      <w:r w:rsidR="003537B4">
        <w:t>s</w:t>
      </w:r>
      <w:r w:rsidR="00E17BF3">
        <w:t xml:space="preserve">ection 402(q) and the </w:t>
      </w:r>
      <w:r w:rsidR="00E17BF3" w:rsidRPr="0062037C">
        <w:t>CSO Control Policy</w:t>
      </w:r>
      <w:r w:rsidR="00E17BF3">
        <w:t xml:space="preserve"> </w:t>
      </w:r>
      <w:r w:rsidR="009341BB">
        <w:t xml:space="preserve">(EPA 1994) </w:t>
      </w:r>
      <w:r w:rsidR="00E17BF3">
        <w:t>require permittees with combined sewer systems (CSSs) that have CSOs to undertake a process to accurately characterize their sewer systems, demonstrate implementation of the nine minimum controls (NMC</w:t>
      </w:r>
      <w:r w:rsidR="007D245F">
        <w:t>s</w:t>
      </w:r>
      <w:r w:rsidR="00E17BF3">
        <w:t>), and develop a</w:t>
      </w:r>
      <w:r w:rsidR="00607A0C">
        <w:t xml:space="preserve">n </w:t>
      </w:r>
      <w:r w:rsidR="00E17BF3">
        <w:t>LTCP</w:t>
      </w:r>
      <w:r w:rsidR="0043213D">
        <w:t xml:space="preserve">. </w:t>
      </w:r>
      <w:r w:rsidR="00E17BF3">
        <w:t>EPA recognizes that resource constraints make it difficult for small communities to prepare a detailed LTCP. Section I.D of the CSO Control Policy states</w:t>
      </w:r>
      <w:r w:rsidR="007D245F">
        <w:t>,</w:t>
      </w:r>
    </w:p>
    <w:p w:rsidR="0062037C" w:rsidRDefault="00E17BF3" w:rsidP="0089242C">
      <w:pPr>
        <w:pStyle w:val="BodyText"/>
        <w:ind w:left="720"/>
      </w:pPr>
      <w:r w:rsidRPr="003537B4">
        <w:lastRenderedPageBreak/>
        <w:t xml:space="preserve">The scope of the </w:t>
      </w:r>
      <w:r w:rsidR="0089242C">
        <w:t>long-term CSO control plan</w:t>
      </w:r>
      <w:r w:rsidRPr="003537B4">
        <w:t xml:space="preserve">, including the characterization, monitoring and modeling, and evaluation of alternatives portions of the Policy may be difficult for some small CSSs. At the discretion of the NPDES Authority, jurisdictions with populations under 75,000 may not need to complete all of the formal steps outlined in Section II.C. of this Policy, but should be required through their permits or other enforceable mechanisms to comply with the nine minimum control (II.B), public participation (II.C.2), and sensitive areas (II.C.3) portions of this Policy. In addition, the permittee may propose to implement any of the criteria contained in this Policy for evaluation of alternatives described in II.C.4. Following approval of the proposed plan, such jurisdictions should construct the control projects and propose a monitoring program sufficient to determine whether </w:t>
      </w:r>
      <w:r w:rsidR="00623124">
        <w:t xml:space="preserve">WQS </w:t>
      </w:r>
      <w:r w:rsidRPr="003537B4">
        <w:t xml:space="preserve">are </w:t>
      </w:r>
      <w:r w:rsidR="0089242C">
        <w:t>attained</w:t>
      </w:r>
      <w:r w:rsidR="0089242C" w:rsidRPr="003537B4">
        <w:t xml:space="preserve"> </w:t>
      </w:r>
      <w:r w:rsidRPr="003537B4">
        <w:t>and designated use are protected</w:t>
      </w:r>
      <w:r w:rsidR="0062037C">
        <w:t>.</w:t>
      </w:r>
    </w:p>
    <w:p w:rsidR="0062037C" w:rsidRDefault="00E17BF3" w:rsidP="00FA6577">
      <w:pPr>
        <w:pStyle w:val="BodyText"/>
      </w:pPr>
      <w:r>
        <w:t xml:space="preserve">EPA developed the </w:t>
      </w:r>
      <w:r w:rsidR="00D76F0D">
        <w:t xml:space="preserve">Green </w:t>
      </w:r>
      <w:r>
        <w:t>LTCP-EZ Template, in part, because it recognizes that expectations for the scope of the LTCP for small communities m</w:t>
      </w:r>
      <w:r w:rsidR="007D245F">
        <w:t>ight</w:t>
      </w:r>
      <w:r>
        <w:t xml:space="preserve"> be different than for larger communities. However, the </w:t>
      </w:r>
      <w:r w:rsidR="00D76F0D">
        <w:t xml:space="preserve">Green </w:t>
      </w:r>
      <w:r>
        <w:t xml:space="preserve">LTCP-EZ Template does not replace the statutory and regulatory requirements applicable to CSOs; those requirements continue to apply to the communities using this template. Nor does its use ensure that a community using the </w:t>
      </w:r>
      <w:r w:rsidR="00D76F0D">
        <w:t xml:space="preserve">Green </w:t>
      </w:r>
      <w:r>
        <w:t xml:space="preserve">LTCP-EZ Template will necessarily be deemed to be in compliance with those requirements. </w:t>
      </w:r>
      <w:r w:rsidR="0062037C">
        <w:t>EPA</w:t>
      </w:r>
      <w:r>
        <w:t xml:space="preserve"> hope</w:t>
      </w:r>
      <w:r w:rsidR="0062037C">
        <w:t>s</w:t>
      </w:r>
      <w:r>
        <w:t xml:space="preserve">, however, that use of the </w:t>
      </w:r>
      <w:r w:rsidR="00D76F0D">
        <w:t xml:space="preserve">Green </w:t>
      </w:r>
      <w:r>
        <w:t>LTCP-EZ Template will facilitate compliance by small communities with those legal requirements and simplify the process of developing a</w:t>
      </w:r>
      <w:r w:rsidR="00607A0C">
        <w:t>n</w:t>
      </w:r>
      <w:r>
        <w:t xml:space="preserve"> LTCP</w:t>
      </w:r>
      <w:r w:rsidR="0062037C">
        <w:t>.</w:t>
      </w:r>
    </w:p>
    <w:p w:rsidR="00E17BF3" w:rsidRPr="007D245F" w:rsidRDefault="00E17BF3" w:rsidP="00FA6577">
      <w:pPr>
        <w:pStyle w:val="BodyText"/>
      </w:pPr>
      <w:r w:rsidRPr="007D245F">
        <w:t xml:space="preserve">IMPORTANT NOTE: Each permittee should discuss use of the </w:t>
      </w:r>
      <w:r w:rsidR="00D76F0D" w:rsidRPr="007D245F">
        <w:t xml:space="preserve">Green </w:t>
      </w:r>
      <w:r w:rsidRPr="007D245F">
        <w:t>LTCP-EZ Template and coordinate with the appropriate regulatory authority or with their permit writer and come to an agreement with the permitting authority on whether use of the</w:t>
      </w:r>
      <w:r w:rsidR="00D76F0D" w:rsidRPr="007D245F">
        <w:t xml:space="preserve"> Green</w:t>
      </w:r>
      <w:r w:rsidRPr="007D245F">
        <w:t xml:space="preserve"> LTCP-EZ Template or components thereof is acceptable for the community</w:t>
      </w:r>
      <w:r w:rsidR="0023393D" w:rsidRPr="007D245F">
        <w:t>.</w:t>
      </w:r>
    </w:p>
    <w:p w:rsidR="00E17BF3" w:rsidRDefault="00E17BF3" w:rsidP="00FA6577">
      <w:pPr>
        <w:pStyle w:val="Heading2"/>
      </w:pPr>
      <w:bookmarkStart w:id="7" w:name="_Toc285015559"/>
      <w:r>
        <w:t xml:space="preserve">Who </w:t>
      </w:r>
      <w:r w:rsidR="007D245F">
        <w:t>s</w:t>
      </w:r>
      <w:r>
        <w:t xml:space="preserve">hould </w:t>
      </w:r>
      <w:r w:rsidR="007D245F">
        <w:t>u</w:t>
      </w:r>
      <w:r>
        <w:t xml:space="preserve">se the </w:t>
      </w:r>
      <w:r w:rsidR="00D76F0D">
        <w:t xml:space="preserve">Green </w:t>
      </w:r>
      <w:r>
        <w:t>LTCP-EZ Template?</w:t>
      </w:r>
      <w:bookmarkEnd w:id="7"/>
    </w:p>
    <w:p w:rsidR="00E17BF3" w:rsidRDefault="00E17BF3" w:rsidP="00FA6577">
      <w:pPr>
        <w:pStyle w:val="BodyText"/>
      </w:pPr>
      <w:r>
        <w:t xml:space="preserve">The </w:t>
      </w:r>
      <w:r w:rsidR="00D76F0D">
        <w:t xml:space="preserve">Green </w:t>
      </w:r>
      <w:r>
        <w:t xml:space="preserve">LTCP-EZ Template is designed as a planning tool for use by small communities that have not developed LTCPs and have limited resources to invest in CSO planning. It is intended to </w:t>
      </w:r>
      <w:r w:rsidR="007D245F">
        <w:t xml:space="preserve">help </w:t>
      </w:r>
      <w:r>
        <w:t xml:space="preserve">small communities develop an LTCP that will build on NMC implementation and lead to additional elimination and reduction of CSOs where needed. CSO communities using the </w:t>
      </w:r>
      <w:r w:rsidR="00D76F0D">
        <w:t xml:space="preserve">Green </w:t>
      </w:r>
      <w:r>
        <w:t xml:space="preserve">LTCP-EZ Template should recognize that this </w:t>
      </w:r>
      <w:r w:rsidRPr="007D245F">
        <w:t>planning tool</w:t>
      </w:r>
      <w:r>
        <w:t xml:space="preserve"> is for use in facility-level planning. Use of the </w:t>
      </w:r>
      <w:r w:rsidR="00D76F0D">
        <w:t xml:space="preserve">Green </w:t>
      </w:r>
      <w:r>
        <w:t>LTCP-</w:t>
      </w:r>
      <w:r w:rsidR="00D76F0D">
        <w:t xml:space="preserve">EZ </w:t>
      </w:r>
      <w:r>
        <w:t xml:space="preserve">Template should be based on a solid understanding of local conditions that cause CSOs. CSO communities should familiarize themselves with all the technical analyses required by the </w:t>
      </w:r>
      <w:r w:rsidR="00D76F0D">
        <w:t xml:space="preserve">Green </w:t>
      </w:r>
      <w:r>
        <w:t>LTCP-EZ planning process. CSO communities should obtain the assistance of qualified technical professionals (</w:t>
      </w:r>
      <w:r w:rsidR="00463764">
        <w:t xml:space="preserve">e.g. </w:t>
      </w:r>
      <w:r>
        <w:t>engineer</w:t>
      </w:r>
      <w:r w:rsidR="00463764">
        <w:t>s and</w:t>
      </w:r>
      <w:r>
        <w:t xml:space="preserve"> hydraulic expert</w:t>
      </w:r>
      <w:r w:rsidR="00463764">
        <w:t>s</w:t>
      </w:r>
      <w:r>
        <w:t xml:space="preserve">) to </w:t>
      </w:r>
      <w:r w:rsidR="007D245F">
        <w:t>help complete</w:t>
      </w:r>
      <w:r>
        <w:t xml:space="preserve"> analyses if they are unable to complete the </w:t>
      </w:r>
      <w:r w:rsidR="00D76F0D">
        <w:t xml:space="preserve">Green </w:t>
      </w:r>
      <w:r>
        <w:t>LTCP-EZ Template on their own. More detailed design studies will be required for construction of new facilities.</w:t>
      </w:r>
    </w:p>
    <w:p w:rsidR="00E17BF3" w:rsidRDefault="00463764" w:rsidP="00FA6577">
      <w:pPr>
        <w:pStyle w:val="BodyText"/>
      </w:pPr>
      <w:r>
        <w:t>Even though t</w:t>
      </w:r>
      <w:r w:rsidR="00E17BF3">
        <w:t>he</w:t>
      </w:r>
      <w:r w:rsidR="00D76F0D">
        <w:t xml:space="preserve"> Green </w:t>
      </w:r>
      <w:r w:rsidR="00E17BF3">
        <w:t>LTCP-EZ Template is particularly well suited for small CSO communities that have relatively uncomplicated CSSs</w:t>
      </w:r>
      <w:r>
        <w:t xml:space="preserve">, </w:t>
      </w:r>
      <w:r w:rsidR="00E659D3">
        <w:t>it might</w:t>
      </w:r>
      <w:r w:rsidR="00E17BF3">
        <w:t xml:space="preserve"> be </w:t>
      </w:r>
      <w:r w:rsidR="00123852">
        <w:t xml:space="preserve">useful </w:t>
      </w:r>
      <w:r w:rsidR="00E17BF3">
        <w:t>for large CSO communities with populations of greater than 75,000. Large CSO communities and small CSO communities that have many CSO outfalls and complex systems m</w:t>
      </w:r>
      <w:r w:rsidR="007D245F">
        <w:t>ight</w:t>
      </w:r>
      <w:r w:rsidR="00E17BF3">
        <w:t xml:space="preserve"> need to take a more sophisticated approach to LTCP development, and this should be evaluated by consultation with regulators as discussed above</w:t>
      </w:r>
      <w:r w:rsidR="0023393D">
        <w:t>.</w:t>
      </w:r>
    </w:p>
    <w:p w:rsidR="00E17BF3" w:rsidRDefault="00E17BF3" w:rsidP="00FA6577">
      <w:pPr>
        <w:pStyle w:val="BodyText"/>
        <w:rPr>
          <w:bCs/>
          <w:szCs w:val="20"/>
        </w:rPr>
      </w:pPr>
      <w:r>
        <w:rPr>
          <w:bCs/>
          <w:szCs w:val="20"/>
        </w:rPr>
        <w:t xml:space="preserve">The </w:t>
      </w:r>
      <w:r w:rsidR="00D76F0D">
        <w:rPr>
          <w:bCs/>
          <w:szCs w:val="20"/>
        </w:rPr>
        <w:t xml:space="preserve">Green </w:t>
      </w:r>
      <w:r>
        <w:rPr>
          <w:bCs/>
          <w:szCs w:val="20"/>
        </w:rPr>
        <w:t>LTCP-EZ Template is intended to provide a very simple assessment of CSO control needs</w:t>
      </w:r>
      <w:r w:rsidR="0043213D">
        <w:rPr>
          <w:bCs/>
          <w:szCs w:val="20"/>
        </w:rPr>
        <w:t xml:space="preserve">. </w:t>
      </w:r>
      <w:r>
        <w:rPr>
          <w:bCs/>
          <w:szCs w:val="20"/>
        </w:rPr>
        <w:t>As such, it m</w:t>
      </w:r>
      <w:r w:rsidR="007D245F">
        <w:rPr>
          <w:bCs/>
          <w:szCs w:val="20"/>
        </w:rPr>
        <w:t>ight</w:t>
      </w:r>
      <w:r>
        <w:rPr>
          <w:bCs/>
          <w:szCs w:val="20"/>
        </w:rPr>
        <w:t xml:space="preserve"> reduce </w:t>
      </w:r>
      <w:r w:rsidR="00457FA9">
        <w:rPr>
          <w:bCs/>
          <w:szCs w:val="20"/>
        </w:rPr>
        <w:t xml:space="preserve">the </w:t>
      </w:r>
      <w:r>
        <w:rPr>
          <w:bCs/>
          <w:szCs w:val="20"/>
        </w:rPr>
        <w:t>effort and costs associated with CSO control development</w:t>
      </w:r>
      <w:r w:rsidR="0043213D">
        <w:rPr>
          <w:bCs/>
          <w:szCs w:val="20"/>
        </w:rPr>
        <w:t xml:space="preserve">. </w:t>
      </w:r>
      <w:r>
        <w:rPr>
          <w:bCs/>
          <w:szCs w:val="20"/>
        </w:rPr>
        <w:t xml:space="preserve">However, </w:t>
      </w:r>
      <w:r w:rsidR="007D245F">
        <w:rPr>
          <w:bCs/>
          <w:szCs w:val="20"/>
        </w:rPr>
        <w:t>because of</w:t>
      </w:r>
      <w:r>
        <w:rPr>
          <w:bCs/>
          <w:szCs w:val="20"/>
        </w:rPr>
        <w:t xml:space="preserve"> its simple nature, the </w:t>
      </w:r>
      <w:r w:rsidR="00D76F0D">
        <w:rPr>
          <w:bCs/>
          <w:szCs w:val="20"/>
        </w:rPr>
        <w:t xml:space="preserve">Green </w:t>
      </w:r>
      <w:r>
        <w:rPr>
          <w:bCs/>
          <w:szCs w:val="20"/>
        </w:rPr>
        <w:t>LTCP-EZ Template m</w:t>
      </w:r>
      <w:r w:rsidR="007D245F">
        <w:rPr>
          <w:bCs/>
          <w:szCs w:val="20"/>
        </w:rPr>
        <w:t>ight</w:t>
      </w:r>
      <w:r>
        <w:rPr>
          <w:bCs/>
          <w:szCs w:val="20"/>
        </w:rPr>
        <w:t xml:space="preserve"> not evaluate a full range of potential CSO control approaches. </w:t>
      </w:r>
      <w:r w:rsidR="001B7E22">
        <w:rPr>
          <w:bCs/>
          <w:szCs w:val="20"/>
        </w:rPr>
        <w:t>Permittees electing</w:t>
      </w:r>
      <w:r w:rsidR="005D4320">
        <w:rPr>
          <w:bCs/>
          <w:szCs w:val="20"/>
        </w:rPr>
        <w:t xml:space="preserve"> to follow the approach provided by the Green LTCP-EZ template</w:t>
      </w:r>
      <w:r w:rsidR="001B7E22">
        <w:rPr>
          <w:bCs/>
          <w:szCs w:val="20"/>
        </w:rPr>
        <w:t xml:space="preserve"> remain subject to all</w:t>
      </w:r>
      <w:r w:rsidR="005D4320">
        <w:rPr>
          <w:bCs/>
          <w:szCs w:val="20"/>
        </w:rPr>
        <w:t xml:space="preserve"> requirements of the CWA and EPA</w:t>
      </w:r>
      <w:r w:rsidR="003537B4">
        <w:rPr>
          <w:bCs/>
          <w:szCs w:val="20"/>
        </w:rPr>
        <w:t>’s</w:t>
      </w:r>
      <w:r w:rsidR="005D4320">
        <w:rPr>
          <w:bCs/>
          <w:szCs w:val="20"/>
        </w:rPr>
        <w:t xml:space="preserve"> 1994 CSO Control Policy.</w:t>
      </w:r>
    </w:p>
    <w:p w:rsidR="00E17BF3" w:rsidRDefault="00E17BF3" w:rsidP="00FA6577">
      <w:pPr>
        <w:pStyle w:val="Heading2"/>
      </w:pPr>
      <w:bookmarkStart w:id="8" w:name="_Toc285015560"/>
      <w:r>
        <w:t xml:space="preserve">What </w:t>
      </w:r>
      <w:r w:rsidR="0062037C">
        <w:t>a</w:t>
      </w:r>
      <w:r>
        <w:t xml:space="preserve">pproach is used in the </w:t>
      </w:r>
      <w:r w:rsidR="00D76F0D">
        <w:t xml:space="preserve">Green </w:t>
      </w:r>
      <w:r>
        <w:t>LTCP-EZ Template?</w:t>
      </w:r>
      <w:bookmarkEnd w:id="8"/>
    </w:p>
    <w:p w:rsidR="00E17BF3" w:rsidRPr="003537B4" w:rsidRDefault="00E17BF3" w:rsidP="00FA6577">
      <w:pPr>
        <w:pStyle w:val="BodyText"/>
        <w:rPr>
          <w:bCs/>
        </w:rPr>
      </w:pPr>
      <w:r>
        <w:t>Schedule 4 - CSO VOLUME and Schedule</w:t>
      </w:r>
      <w:r w:rsidR="004D6ED7">
        <w:t>s</w:t>
      </w:r>
      <w:r>
        <w:t xml:space="preserve"> 5</w:t>
      </w:r>
      <w:r w:rsidR="00E32832">
        <w:t>A</w:t>
      </w:r>
      <w:r w:rsidR="004D6ED7">
        <w:t xml:space="preserve"> and 5</w:t>
      </w:r>
      <w:r w:rsidR="00E32832">
        <w:t>B</w:t>
      </w:r>
      <w:r>
        <w:t xml:space="preserve"> – CSO CONTROL use the </w:t>
      </w:r>
      <w:r w:rsidR="001B7E22">
        <w:t>“</w:t>
      </w:r>
      <w:r w:rsidRPr="004F7A66">
        <w:t xml:space="preserve">presumption </w:t>
      </w:r>
      <w:r w:rsidRPr="001B7E22">
        <w:rPr>
          <w:rStyle w:val="italic"/>
          <w:i w:val="0"/>
        </w:rPr>
        <w:t>approach</w:t>
      </w:r>
      <w:r w:rsidR="001B7E22">
        <w:rPr>
          <w:rStyle w:val="italic"/>
          <w:i w:val="0"/>
        </w:rPr>
        <w:t>”</w:t>
      </w:r>
      <w:r>
        <w:t xml:space="preserve"> </w:t>
      </w:r>
      <w:r>
        <w:rPr>
          <w:bCs/>
        </w:rPr>
        <w:t>described in the CSO Control Policy</w:t>
      </w:r>
      <w:r>
        <w:t xml:space="preserve"> to quantify the volume of combined sewage that needs to be stored, treated, or eliminated.</w:t>
      </w:r>
      <w:r>
        <w:rPr>
          <w:bCs/>
        </w:rPr>
        <w:t xml:space="preserve"> </w:t>
      </w:r>
      <w:r>
        <w:t xml:space="preserve">The CSO Control Policy describes two alternative approaches available to communities to establish that their LTCPs are adequate to meet the water quality-based requirements of the </w:t>
      </w:r>
      <w:r w:rsidR="003537B4">
        <w:t>CWA</w:t>
      </w:r>
      <w:r>
        <w:t xml:space="preserve">: the </w:t>
      </w:r>
      <w:r w:rsidRPr="003D5B09">
        <w:t>presumption approach</w:t>
      </w:r>
      <w:r>
        <w:t xml:space="preserve"> and the </w:t>
      </w:r>
      <w:r w:rsidRPr="003D5B09">
        <w:t xml:space="preserve">demonstration approach </w:t>
      </w:r>
      <w:r>
        <w:t xml:space="preserve">(Policy Section II.C.4.a.)  The presumption approach sets forth criteria that, when met, are presumed to provide an adequate level of control to meet the water quality-based requirements: </w:t>
      </w:r>
    </w:p>
    <w:p w:rsidR="0062037C" w:rsidRDefault="00E17BF3" w:rsidP="000F69BF">
      <w:pPr>
        <w:pStyle w:val="BodyTextIndent"/>
      </w:pPr>
      <w:r w:rsidRPr="003537B4">
        <w:lastRenderedPageBreak/>
        <w:t xml:space="preserve">… would be presumed to provide an adequate level of control to meet water quality-based requirements of the </w:t>
      </w:r>
      <w:r w:rsidR="00E9043F">
        <w:t xml:space="preserve">CWA </w:t>
      </w:r>
      <w:r w:rsidRPr="003537B4">
        <w:t xml:space="preserve">, provided the permitting authority determines that such presumption is reasonable in light of data and analysis conducted in the characterization, monitoring, and modeling of the system and the consideration of sensitive areas described above (in Section II.C.4.a). These criteria are provided because data and modeling of wet weather events often do not give a clear picture of the level of CSO controls necessary to protect </w:t>
      </w:r>
      <w:r w:rsidR="00233FCB" w:rsidRPr="003537B4">
        <w:t>WQS.</w:t>
      </w:r>
    </w:p>
    <w:p w:rsidR="00E17BF3" w:rsidRDefault="00E17BF3" w:rsidP="000F69BF">
      <w:pPr>
        <w:pStyle w:val="Heading3"/>
      </w:pPr>
      <w:r>
        <w:t xml:space="preserve">Selected criterion under the presumption approach used in the </w:t>
      </w:r>
      <w:r w:rsidR="00D76F0D">
        <w:t xml:space="preserve">Green </w:t>
      </w:r>
      <w:r>
        <w:t>LTCP-EZ Template</w:t>
      </w:r>
    </w:p>
    <w:p w:rsidR="00E17BF3" w:rsidRDefault="005D4320" w:rsidP="00FA6577">
      <w:pPr>
        <w:pStyle w:val="BodyText"/>
        <w:rPr>
          <w:szCs w:val="20"/>
        </w:rPr>
      </w:pPr>
      <w:r>
        <w:rPr>
          <w:szCs w:val="20"/>
        </w:rPr>
        <w:t>Under the presumption approach set forth in the CSO</w:t>
      </w:r>
      <w:r w:rsidR="003D5B09">
        <w:rPr>
          <w:szCs w:val="20"/>
        </w:rPr>
        <w:t xml:space="preserve"> Control</w:t>
      </w:r>
      <w:r>
        <w:rPr>
          <w:szCs w:val="20"/>
        </w:rPr>
        <w:t xml:space="preserve"> Policy, a community may select from one of three sets of criteria </w:t>
      </w:r>
      <w:r w:rsidR="00004CCD">
        <w:rPr>
          <w:szCs w:val="20"/>
        </w:rPr>
        <w:t xml:space="preserve">that </w:t>
      </w:r>
      <w:r>
        <w:rPr>
          <w:szCs w:val="20"/>
        </w:rPr>
        <w:t xml:space="preserve">it </w:t>
      </w:r>
      <w:r w:rsidR="00004CCD">
        <w:rPr>
          <w:szCs w:val="20"/>
        </w:rPr>
        <w:t>must</w:t>
      </w:r>
      <w:r>
        <w:rPr>
          <w:szCs w:val="20"/>
        </w:rPr>
        <w:t xml:space="preserve"> </w:t>
      </w:r>
      <w:r w:rsidR="0023393D">
        <w:rPr>
          <w:szCs w:val="20"/>
        </w:rPr>
        <w:t xml:space="preserve">meet upon LTCP implementation </w:t>
      </w:r>
      <w:r>
        <w:rPr>
          <w:szCs w:val="20"/>
        </w:rPr>
        <w:t>(</w:t>
      </w:r>
      <w:r w:rsidR="0023393D">
        <w:rPr>
          <w:szCs w:val="20"/>
        </w:rPr>
        <w:t>s</w:t>
      </w:r>
      <w:r>
        <w:rPr>
          <w:szCs w:val="20"/>
        </w:rPr>
        <w:t>ee CSO</w:t>
      </w:r>
      <w:r w:rsidR="003D5B09">
        <w:rPr>
          <w:szCs w:val="20"/>
        </w:rPr>
        <w:t xml:space="preserve"> Control </w:t>
      </w:r>
      <w:r>
        <w:rPr>
          <w:szCs w:val="20"/>
        </w:rPr>
        <w:t xml:space="preserve">Policy Section II.C.4.a.i-iii). Calculations in some parts of the </w:t>
      </w:r>
      <w:r w:rsidR="00D76F0D">
        <w:rPr>
          <w:szCs w:val="20"/>
        </w:rPr>
        <w:t xml:space="preserve">Green </w:t>
      </w:r>
      <w:r w:rsidR="00E17BF3">
        <w:rPr>
          <w:szCs w:val="20"/>
        </w:rPr>
        <w:t xml:space="preserve">LTCP-EZ Template </w:t>
      </w:r>
      <w:r w:rsidR="008743EA">
        <w:rPr>
          <w:szCs w:val="20"/>
        </w:rPr>
        <w:t xml:space="preserve">(specifically, Schedule 4) </w:t>
      </w:r>
      <w:r w:rsidR="00E17BF3">
        <w:rPr>
          <w:szCs w:val="20"/>
        </w:rPr>
        <w:t xml:space="preserve">use </w:t>
      </w:r>
      <w:r>
        <w:rPr>
          <w:szCs w:val="20"/>
        </w:rPr>
        <w:t>the first criterion</w:t>
      </w:r>
      <w:r w:rsidR="00E17BF3">
        <w:rPr>
          <w:szCs w:val="20"/>
        </w:rPr>
        <w:t xml:space="preserve"> in section II.C.4.a.i.</w:t>
      </w:r>
      <w:r w:rsidR="001B7E22">
        <w:rPr>
          <w:szCs w:val="20"/>
        </w:rPr>
        <w:t>,</w:t>
      </w:r>
      <w:r w:rsidR="00E17BF3">
        <w:rPr>
          <w:szCs w:val="20"/>
        </w:rPr>
        <w:t xml:space="preserve"> as follows: </w:t>
      </w:r>
    </w:p>
    <w:p w:rsidR="0062037C" w:rsidRDefault="00E17BF3" w:rsidP="000F69BF">
      <w:pPr>
        <w:pStyle w:val="BodyTextIndent"/>
      </w:pPr>
      <w:r w:rsidRPr="003537B4">
        <w:t xml:space="preserve">No more than </w:t>
      </w:r>
      <w:r w:rsidR="005A4268" w:rsidRPr="003537B4">
        <w:t>an average of four overflow</w:t>
      </w:r>
      <w:r w:rsidRPr="003537B4">
        <w:t xml:space="preserve"> events per year, provided that the permitting authority may allow up to two additional overflow events per year. For the purpose of this criterion, an overflow event is one or more overflows from a CSS as the result of a precipitation event that does not receive the minimum treatment specified below</w:t>
      </w:r>
      <w:r w:rsidR="0062037C">
        <w:t>.</w:t>
      </w:r>
    </w:p>
    <w:p w:rsidR="00E17BF3" w:rsidRDefault="00E17BF3" w:rsidP="00FA6577">
      <w:pPr>
        <w:pStyle w:val="BodyText"/>
        <w:rPr>
          <w:szCs w:val="20"/>
        </w:rPr>
      </w:pPr>
      <w:r>
        <w:rPr>
          <w:szCs w:val="20"/>
        </w:rPr>
        <w:t xml:space="preserve">The </w:t>
      </w:r>
      <w:r w:rsidRPr="000F69BF">
        <w:rPr>
          <w:rStyle w:val="italic"/>
        </w:rPr>
        <w:t>minimum treatment specified</w:t>
      </w:r>
      <w:r>
        <w:rPr>
          <w:szCs w:val="20"/>
        </w:rPr>
        <w:t xml:space="preserve"> with respect to the </w:t>
      </w:r>
      <w:r w:rsidR="00035EB0">
        <w:rPr>
          <w:szCs w:val="20"/>
        </w:rPr>
        <w:t xml:space="preserve">criterion </w:t>
      </w:r>
      <w:r>
        <w:rPr>
          <w:szCs w:val="20"/>
        </w:rPr>
        <w:t>in Section II.C.4.a.i. of the CSO Control Policy is defined as</w:t>
      </w:r>
      <w:r w:rsidR="003D5B09">
        <w:rPr>
          <w:szCs w:val="20"/>
        </w:rPr>
        <w:t xml:space="preserve"> follows</w:t>
      </w:r>
      <w:r>
        <w:rPr>
          <w:szCs w:val="20"/>
        </w:rPr>
        <w:t>:</w:t>
      </w:r>
    </w:p>
    <w:p w:rsidR="00E17BF3" w:rsidRPr="003D5B09" w:rsidRDefault="00E17BF3" w:rsidP="000F69BF">
      <w:pPr>
        <w:pStyle w:val="bullet"/>
      </w:pPr>
      <w:r w:rsidRPr="003D5B09">
        <w:t>Primary clarification</w:t>
      </w:r>
      <w:r w:rsidR="00585EAA">
        <w:t xml:space="preserve"> (R</w:t>
      </w:r>
      <w:r w:rsidRPr="003D5B09">
        <w:t>emoval of floatable and settleable solids may be achieved by any combination of treatment technologies or methods that are shown to be equivalent to primary clarification</w:t>
      </w:r>
      <w:r w:rsidR="00585EAA">
        <w:t>)</w:t>
      </w:r>
      <w:r w:rsidRPr="003D5B09">
        <w:t>;</w:t>
      </w:r>
    </w:p>
    <w:p w:rsidR="0062037C" w:rsidRDefault="00E17BF3" w:rsidP="000F69BF">
      <w:pPr>
        <w:pStyle w:val="bullet"/>
      </w:pPr>
      <w:r w:rsidRPr="003D5B09">
        <w:t>Solids and floatable disposal; and</w:t>
      </w:r>
    </w:p>
    <w:p w:rsidR="00E17BF3" w:rsidRPr="003D5B09" w:rsidRDefault="00E17BF3" w:rsidP="000F69BF">
      <w:pPr>
        <w:pStyle w:val="bullet"/>
      </w:pPr>
      <w:r w:rsidRPr="003D5B09">
        <w:t xml:space="preserve">Disinfection of effluent, if necessary, to meet </w:t>
      </w:r>
      <w:r w:rsidR="00F96C50">
        <w:t>WQS</w:t>
      </w:r>
      <w:r w:rsidRPr="003D5B09">
        <w:t>, protect designated uses, and protect human health, including removal of harmful disinfection chemical residuals, where necessary.</w:t>
      </w:r>
    </w:p>
    <w:p w:rsidR="00E17BF3" w:rsidRDefault="00E17BF3" w:rsidP="00FA6577">
      <w:pPr>
        <w:pStyle w:val="BodyText"/>
        <w:rPr>
          <w:szCs w:val="20"/>
        </w:rPr>
      </w:pPr>
      <w:r>
        <w:rPr>
          <w:szCs w:val="20"/>
        </w:rPr>
        <w:t>Th</w:t>
      </w:r>
      <w:r w:rsidR="00F96C50">
        <w:rPr>
          <w:szCs w:val="20"/>
        </w:rPr>
        <w:t>is</w:t>
      </w:r>
      <w:r>
        <w:rPr>
          <w:szCs w:val="20"/>
        </w:rPr>
        <w:t xml:space="preserve"> </w:t>
      </w:r>
      <w:r w:rsidR="00491B00">
        <w:rPr>
          <w:szCs w:val="20"/>
        </w:rPr>
        <w:t xml:space="preserve">criterion </w:t>
      </w:r>
      <w:r>
        <w:rPr>
          <w:szCs w:val="20"/>
        </w:rPr>
        <w:t xml:space="preserve">is used because </w:t>
      </w:r>
      <w:r w:rsidR="00B423E7">
        <w:rPr>
          <w:szCs w:val="20"/>
        </w:rPr>
        <w:t xml:space="preserve">it allows </w:t>
      </w:r>
      <w:r>
        <w:rPr>
          <w:szCs w:val="20"/>
        </w:rPr>
        <w:t xml:space="preserve">quantification with simple procedures and a standardized format. </w:t>
      </w:r>
      <w:r w:rsidR="005D4320">
        <w:rPr>
          <w:szCs w:val="20"/>
        </w:rPr>
        <w:t xml:space="preserve">It should be noted that a permittee </w:t>
      </w:r>
      <w:r w:rsidR="00AE3C0D">
        <w:rPr>
          <w:szCs w:val="20"/>
        </w:rPr>
        <w:t xml:space="preserve">could choose to </w:t>
      </w:r>
      <w:r w:rsidR="005D4320">
        <w:rPr>
          <w:szCs w:val="20"/>
        </w:rPr>
        <w:t>us</w:t>
      </w:r>
      <w:r w:rsidR="00AE3C0D">
        <w:rPr>
          <w:szCs w:val="20"/>
        </w:rPr>
        <w:t>e</w:t>
      </w:r>
      <w:r w:rsidR="005D4320">
        <w:rPr>
          <w:szCs w:val="20"/>
        </w:rPr>
        <w:t xml:space="preserve"> </w:t>
      </w:r>
      <w:r w:rsidR="00AE3C0D">
        <w:rPr>
          <w:szCs w:val="20"/>
        </w:rPr>
        <w:t xml:space="preserve">one of </w:t>
      </w:r>
      <w:r w:rsidR="005D4320">
        <w:rPr>
          <w:szCs w:val="20"/>
        </w:rPr>
        <w:t xml:space="preserve">the other two criteria under the presumption approach, or the demonstration approach. Conversely, permittees may still use the other parts of the Green LTCP-EZ Template </w:t>
      </w:r>
      <w:r w:rsidR="0014411B">
        <w:rPr>
          <w:szCs w:val="20"/>
        </w:rPr>
        <w:t xml:space="preserve">to help complete their LTCP </w:t>
      </w:r>
      <w:r w:rsidR="005D4320">
        <w:rPr>
          <w:szCs w:val="20"/>
        </w:rPr>
        <w:t xml:space="preserve">even if they choose not to </w:t>
      </w:r>
      <w:r w:rsidR="004F1926">
        <w:rPr>
          <w:szCs w:val="20"/>
        </w:rPr>
        <w:t xml:space="preserve">use </w:t>
      </w:r>
      <w:r w:rsidR="008743EA">
        <w:rPr>
          <w:szCs w:val="20"/>
        </w:rPr>
        <w:t xml:space="preserve">Schedule 4 </w:t>
      </w:r>
      <w:r w:rsidR="005D4320">
        <w:rPr>
          <w:szCs w:val="20"/>
        </w:rPr>
        <w:t>of the Green LTCP-EZ Template.</w:t>
      </w:r>
      <w:r w:rsidR="00AE3C0D" w:rsidRPr="00AE3C0D">
        <w:rPr>
          <w:szCs w:val="20"/>
        </w:rPr>
        <w:t xml:space="preserve"> </w:t>
      </w:r>
    </w:p>
    <w:p w:rsidR="00E17BF3" w:rsidRDefault="00E17BF3" w:rsidP="000F69BF">
      <w:pPr>
        <w:pStyle w:val="Heading3"/>
      </w:pPr>
      <w:r>
        <w:rPr>
          <w:bCs/>
        </w:rPr>
        <w:t xml:space="preserve">Calculations within </w:t>
      </w:r>
      <w:r>
        <w:t>Schedule 4 - CSO VOLUME and Schedule</w:t>
      </w:r>
      <w:r w:rsidR="00164F71">
        <w:t>s</w:t>
      </w:r>
      <w:r>
        <w:t xml:space="preserve"> 5</w:t>
      </w:r>
      <w:r w:rsidR="00E32832">
        <w:t>A</w:t>
      </w:r>
      <w:r w:rsidR="00164F71">
        <w:t xml:space="preserve"> and 5</w:t>
      </w:r>
      <w:r w:rsidR="00E32832">
        <w:t>B</w:t>
      </w:r>
      <w:r>
        <w:t xml:space="preserve"> – CSO CONTROL</w:t>
      </w:r>
    </w:p>
    <w:p w:rsidR="00457FA9" w:rsidRDefault="0062037C" w:rsidP="00FA6577">
      <w:pPr>
        <w:pStyle w:val="BodyText"/>
      </w:pPr>
      <w:r>
        <w:t xml:space="preserve">EPA advises </w:t>
      </w:r>
      <w:r w:rsidR="00457FA9">
        <w:t>permittee</w:t>
      </w:r>
      <w:r>
        <w:t>s</w:t>
      </w:r>
      <w:r w:rsidR="00457FA9">
        <w:t xml:space="preserve"> to consider </w:t>
      </w:r>
      <w:r w:rsidR="00035EB0">
        <w:t xml:space="preserve">implementing </w:t>
      </w:r>
      <w:r w:rsidR="00457FA9">
        <w:t xml:space="preserve">a limited rainfall and flow monitoring program. </w:t>
      </w:r>
      <w:r w:rsidR="00123852">
        <w:t>S</w:t>
      </w:r>
      <w:r w:rsidR="00457FA9">
        <w:t xml:space="preserve">imple regression analyses (e.g., rainfall vs. flow response) can be used to refine the Green LTCP-EZ Template output and increase confidence in sizing </w:t>
      </w:r>
      <w:r>
        <w:t xml:space="preserve">the </w:t>
      </w:r>
      <w:r w:rsidR="00457FA9">
        <w:t xml:space="preserve">controls generated using the Green LTCP-EZ Template. </w:t>
      </w:r>
      <w:r>
        <w:t>For examples of this approach to rainfall response characterization, t</w:t>
      </w:r>
      <w:r w:rsidR="00457FA9">
        <w:t xml:space="preserve">he permittee </w:t>
      </w:r>
      <w:r>
        <w:t>should</w:t>
      </w:r>
      <w:r w:rsidR="00457FA9">
        <w:t xml:space="preserve"> refer to </w:t>
      </w:r>
      <w:r w:rsidR="00457FA9">
        <w:rPr>
          <w:iCs/>
        </w:rPr>
        <w:t>Combined Sewer Overflows Guidance for Monitoring and Modeling</w:t>
      </w:r>
      <w:r w:rsidR="00457FA9">
        <w:t xml:space="preserve"> </w:t>
      </w:r>
      <w:r w:rsidR="009341BB">
        <w:t>(E</w:t>
      </w:r>
      <w:r w:rsidR="00457FA9" w:rsidRPr="0017079F">
        <w:t xml:space="preserve">PA </w:t>
      </w:r>
      <w:r w:rsidR="00EC605B">
        <w:t>1</w:t>
      </w:r>
      <w:r w:rsidR="00457FA9" w:rsidRPr="0017079F">
        <w:t>999)</w:t>
      </w:r>
      <w:r w:rsidR="00EC605B">
        <w:t>.</w:t>
      </w:r>
    </w:p>
    <w:p w:rsidR="0062037C" w:rsidRDefault="00E17BF3" w:rsidP="00FA6577">
      <w:pPr>
        <w:pStyle w:val="BodyText"/>
      </w:pPr>
      <w:r>
        <w:t>Schedules 4 and 5 use design storm conditions to assess the degree of CSO control required to meet the average of four overflow events per year criteri</w:t>
      </w:r>
      <w:r w:rsidR="00035EB0">
        <w:t>on</w:t>
      </w:r>
      <w:r>
        <w:t xml:space="preserve">. Design storms are critical rainfall conditions that occur with a predictable frequency. They are used with simple calculations to quantify the volume of combined sewage to be stored, treated, or eliminated to meet the criterion of no more than four overflows per year, on average. The </w:t>
      </w:r>
      <w:r w:rsidRPr="004F7A66">
        <w:t>design storm</w:t>
      </w:r>
      <w:r>
        <w:t xml:space="preserve"> is explained in further detail in the instructions for Schedule 4 – CSO VOLUME</w:t>
      </w:r>
      <w:r w:rsidR="0062037C">
        <w:t>.</w:t>
      </w:r>
    </w:p>
    <w:p w:rsidR="0062037C" w:rsidRDefault="00E17BF3" w:rsidP="00FA6577">
      <w:pPr>
        <w:pStyle w:val="BodyText"/>
      </w:pPr>
      <w:r>
        <w:t xml:space="preserve">The </w:t>
      </w:r>
      <w:r w:rsidR="00D76F0D">
        <w:t xml:space="preserve">Green </w:t>
      </w:r>
      <w:r>
        <w:t>LTCP-EZ Template also provides permittees with simple methods to assess the costs and effectiveness of a variety of CSO control alternatives in Schedule</w:t>
      </w:r>
      <w:r w:rsidR="00164F71">
        <w:t>s</w:t>
      </w:r>
      <w:r>
        <w:t xml:space="preserve"> 5</w:t>
      </w:r>
      <w:r w:rsidR="00E32832">
        <w:t>A</w:t>
      </w:r>
      <w:r w:rsidR="00164F71">
        <w:t xml:space="preserve"> and 5</w:t>
      </w:r>
      <w:r w:rsidR="00E32832">
        <w:t>B</w:t>
      </w:r>
      <w:r>
        <w:t xml:space="preserve"> – CSO CONTROL</w:t>
      </w:r>
      <w:r w:rsidR="0062037C">
        <w:t>.</w:t>
      </w:r>
    </w:p>
    <w:p w:rsidR="0062037C" w:rsidRDefault="006952B8" w:rsidP="00FA6577">
      <w:pPr>
        <w:pStyle w:val="BodyText"/>
      </w:pPr>
      <w:r>
        <w:t>All CSO communities are obligated to meet the requirements of the CWA and the CSO Policy, but u</w:t>
      </w:r>
      <w:r w:rsidR="00E17BF3">
        <w:t xml:space="preserve">se of the presumption approach and the use of Schedules 4 and 5 </w:t>
      </w:r>
      <w:r w:rsidR="00035EB0">
        <w:t xml:space="preserve">is only one way to comply, and </w:t>
      </w:r>
      <w:r w:rsidR="00E17BF3">
        <w:t xml:space="preserve">may not be appropriate for every community. Some states have specific requirements that are inconsistent with Schedules 4 and 5. </w:t>
      </w:r>
      <w:r w:rsidR="00123852">
        <w:t>U</w:t>
      </w:r>
      <w:r w:rsidR="00E17BF3">
        <w:t xml:space="preserve">se of the </w:t>
      </w:r>
      <w:r w:rsidR="00D76F0D">
        <w:t xml:space="preserve">Green </w:t>
      </w:r>
      <w:r w:rsidR="00E17BF3">
        <w:t>LTCP-EZ Template does not preclude permitting authorities from requesting clarification or requiring additional information. Permittees should consult with the appropriate regulatory authority to determine whether or not the presumption approach and its interpretation under Schedules 4 and 5 are appropriate for their local circumstances</w:t>
      </w:r>
      <w:r w:rsidR="0062037C">
        <w:t>.</w:t>
      </w:r>
    </w:p>
    <w:p w:rsidR="0062037C" w:rsidRDefault="00E17BF3" w:rsidP="00FA6577">
      <w:pPr>
        <w:pStyle w:val="Heading2"/>
      </w:pPr>
      <w:bookmarkStart w:id="9" w:name="_Toc285015561"/>
      <w:r>
        <w:lastRenderedPageBreak/>
        <w:t xml:space="preserve">How is </w:t>
      </w:r>
      <w:r w:rsidR="0062037C">
        <w:t>f</w:t>
      </w:r>
      <w:r w:rsidR="007F1BE4">
        <w:t xml:space="preserve">inancial </w:t>
      </w:r>
      <w:r w:rsidR="0062037C">
        <w:t>c</w:t>
      </w:r>
      <w:r w:rsidR="00992743">
        <w:t>apability</w:t>
      </w:r>
      <w:r>
        <w:t xml:space="preserve"> </w:t>
      </w:r>
      <w:r w:rsidR="0062037C">
        <w:t>a</w:t>
      </w:r>
      <w:r>
        <w:t>ssessed?</w:t>
      </w:r>
      <w:bookmarkEnd w:id="9"/>
    </w:p>
    <w:p w:rsidR="0062037C" w:rsidRDefault="00E17BF3" w:rsidP="00FA6577">
      <w:pPr>
        <w:pStyle w:val="BodyText"/>
      </w:pPr>
      <w:r>
        <w:t xml:space="preserve">The CSO Financial Capability Assessment Approach outlined in EPA’s </w:t>
      </w:r>
      <w:r w:rsidR="0062037C">
        <w:t>Combined Sewer Overflows—</w:t>
      </w:r>
      <w:r>
        <w:rPr>
          <w:iCs/>
        </w:rPr>
        <w:t>Guidance for Financi</w:t>
      </w:r>
      <w:r w:rsidRPr="00FA6577">
        <w:rPr>
          <w:rStyle w:val="italic"/>
        </w:rPr>
        <w:t xml:space="preserve">al Capability Assessment and Schedule </w:t>
      </w:r>
      <w:r w:rsidRPr="005A3962">
        <w:rPr>
          <w:iCs/>
        </w:rPr>
        <w:t xml:space="preserve">Development </w:t>
      </w:r>
      <w:r w:rsidRPr="0017079F">
        <w:t xml:space="preserve">(EPA </w:t>
      </w:r>
      <w:r w:rsidR="00EC605B">
        <w:t xml:space="preserve">1997) </w:t>
      </w:r>
      <w:r w:rsidRPr="0017079F">
        <w:t xml:space="preserve">is </w:t>
      </w:r>
      <w:r w:rsidR="00D42771" w:rsidRPr="0017079F">
        <w:t>used to assess</w:t>
      </w:r>
      <w:r w:rsidR="00D42771">
        <w:t xml:space="preserve"> financial capability and is </w:t>
      </w:r>
      <w:r>
        <w:t xml:space="preserve">contained in Schedule 6 – CSO </w:t>
      </w:r>
      <w:r w:rsidR="007F1BE4">
        <w:t xml:space="preserve">FINANCIAL </w:t>
      </w:r>
      <w:r w:rsidR="00992743">
        <w:t>CAPABILITY</w:t>
      </w:r>
      <w:r w:rsidR="0062037C">
        <w:t>.</w:t>
      </w:r>
    </w:p>
    <w:p w:rsidR="00E17BF3" w:rsidRDefault="0062037C" w:rsidP="00910718">
      <w:pPr>
        <w:pStyle w:val="Heading2"/>
      </w:pPr>
      <w:bookmarkStart w:id="10" w:name="_Toc285015562"/>
      <w:r>
        <w:t>Summary</w:t>
      </w:r>
      <w:bookmarkEnd w:id="10"/>
    </w:p>
    <w:p w:rsidR="00D00E3D" w:rsidRDefault="00E17BF3" w:rsidP="00FA6577">
      <w:pPr>
        <w:pStyle w:val="BodyText"/>
      </w:pPr>
      <w:r>
        <w:t xml:space="preserve">The </w:t>
      </w:r>
      <w:r w:rsidR="00D76F0D">
        <w:t xml:space="preserve">Green </w:t>
      </w:r>
      <w:r>
        <w:t xml:space="preserve">LTCP-EZ Template is an optional CSO control planning tool </w:t>
      </w:r>
      <w:r w:rsidR="00123852">
        <w:t xml:space="preserve">to assist </w:t>
      </w:r>
      <w:r>
        <w:t>small communities</w:t>
      </w:r>
      <w:r w:rsidR="006952B8" w:rsidRPr="006952B8">
        <w:t xml:space="preserve"> </w:t>
      </w:r>
      <w:r w:rsidR="00123852">
        <w:t xml:space="preserve">in </w:t>
      </w:r>
      <w:r>
        <w:t xml:space="preserve">assembling and organizing the information required in an LTCP. FORM </w:t>
      </w:r>
      <w:r w:rsidR="00D76F0D">
        <w:t xml:space="preserve">GREEN </w:t>
      </w:r>
      <w:r>
        <w:t xml:space="preserve">LTCP-EZ and Schedules 1 (Nine Minimum Controls), 2 (Map) and 3 (Public Participation) allow organization of some of the basic elements to comply with the CSO policy. Schedule 4 </w:t>
      </w:r>
      <w:r>
        <w:rPr>
          <w:iCs/>
        </w:rPr>
        <w:t>–</w:t>
      </w:r>
      <w:r>
        <w:t xml:space="preserve"> CSO VOLUME allows the permittee to estimate a target volume of combined sewage that needs to be stored, treated, or eliminated. Schedule</w:t>
      </w:r>
      <w:r w:rsidR="00164F71">
        <w:t>s</w:t>
      </w:r>
      <w:r>
        <w:t xml:space="preserve"> 5</w:t>
      </w:r>
      <w:r w:rsidR="00E32832">
        <w:t>A</w:t>
      </w:r>
      <w:r w:rsidR="00164F71">
        <w:t xml:space="preserve"> and 5</w:t>
      </w:r>
      <w:r w:rsidR="00E32832">
        <w:t>B</w:t>
      </w:r>
      <w:r>
        <w:t xml:space="preserve"> </w:t>
      </w:r>
      <w:r>
        <w:rPr>
          <w:iCs/>
        </w:rPr>
        <w:t>–</w:t>
      </w:r>
      <w:r>
        <w:t xml:space="preserve"> CSO CONTROL enable the permittee to evaluate the ability of a </w:t>
      </w:r>
      <w:r w:rsidR="00164F71">
        <w:t xml:space="preserve">number of </w:t>
      </w:r>
      <w:r>
        <w:t xml:space="preserve">widely used </w:t>
      </w:r>
      <w:r w:rsidR="00E32832">
        <w:t>green infrastructure</w:t>
      </w:r>
      <w:r w:rsidR="00164F71">
        <w:t xml:space="preserve"> runoff controls and pipe network </w:t>
      </w:r>
      <w:r>
        <w:t xml:space="preserve">CSO controls to meet the reduction target. Schedule 6 – CSO </w:t>
      </w:r>
      <w:r w:rsidR="007F1BE4">
        <w:t xml:space="preserve">FINANCIAL </w:t>
      </w:r>
      <w:r w:rsidR="00992743">
        <w:t>CAPABILITY</w:t>
      </w:r>
      <w:r>
        <w:t xml:space="preserve"> provides an EPA </w:t>
      </w:r>
      <w:r w:rsidR="003D7262">
        <w:t>f</w:t>
      </w:r>
      <w:r w:rsidR="007F1BE4">
        <w:t xml:space="preserve">inancial </w:t>
      </w:r>
      <w:r w:rsidR="003D7262">
        <w:t>c</w:t>
      </w:r>
      <w:r w:rsidR="00992743">
        <w:t>apability</w:t>
      </w:r>
      <w:r>
        <w:t xml:space="preserve"> analysis to assess the </w:t>
      </w:r>
      <w:r w:rsidR="00FC65E9">
        <w:t xml:space="preserve">CSO </w:t>
      </w:r>
      <w:r>
        <w:t xml:space="preserve">community’s financial capabilities. </w:t>
      </w:r>
      <w:r w:rsidR="00164F71">
        <w:t xml:space="preserve">FORM </w:t>
      </w:r>
      <w:r w:rsidR="00D76F0D">
        <w:t xml:space="preserve">GREEN </w:t>
      </w:r>
      <w:r w:rsidR="00164F71">
        <w:t>LTCP-EZ and its schedules are available in hard copy format or as computer-based spreadsheets.</w:t>
      </w:r>
    </w:p>
    <w:p w:rsidR="0068786F" w:rsidRDefault="00E17BF3" w:rsidP="00FA6577">
      <w:pPr>
        <w:pStyle w:val="BodyText"/>
        <w:rPr>
          <w:iCs/>
          <w:sz w:val="22"/>
        </w:rPr>
      </w:pPr>
      <w:r>
        <w:t>The CSO Control Policy and all of EPA’s CSO guidance documents can be found at the following link:</w:t>
      </w:r>
      <w:hyperlink r:id="rId19" w:history="1">
        <w:r w:rsidRPr="000F69BF">
          <w:rPr>
            <w:rStyle w:val="Hyperlink"/>
          </w:rPr>
          <w:t>http://cfpub.epa.gov/npdes/home.cfm?program_id=5</w:t>
        </w:r>
      </w:hyperlink>
      <w:r w:rsidR="00B72C71" w:rsidRPr="00B72C71">
        <w:rPr>
          <w:iCs/>
        </w:rPr>
        <w:t>.</w:t>
      </w:r>
    </w:p>
    <w:p w:rsidR="009B1C17" w:rsidRPr="009B1C17" w:rsidRDefault="0062037C" w:rsidP="006737BA">
      <w:pPr>
        <w:pStyle w:val="Heading1"/>
      </w:pPr>
      <w:r w:rsidRPr="0062037C">
        <w:br w:type="page"/>
      </w:r>
      <w:bookmarkStart w:id="11" w:name="_Toc285015563"/>
      <w:bookmarkStart w:id="12" w:name="benefit"/>
      <w:r w:rsidR="009B1C17" w:rsidRPr="009B1C17">
        <w:lastRenderedPageBreak/>
        <w:t>Rationale for Using Green Infrastructure for CSO Controls</w:t>
      </w:r>
      <w:bookmarkEnd w:id="11"/>
    </w:p>
    <w:p w:rsidR="00741DD4" w:rsidRPr="00864F90" w:rsidRDefault="00741DD4" w:rsidP="006737BA">
      <w:pPr>
        <w:pStyle w:val="Heading2"/>
      </w:pPr>
      <w:bookmarkStart w:id="13" w:name="_Toc285015564"/>
      <w:r w:rsidRPr="00864F90">
        <w:t>What is Green Infrastructure?</w:t>
      </w:r>
      <w:bookmarkEnd w:id="13"/>
    </w:p>
    <w:p w:rsidR="00741DD4" w:rsidRDefault="00741DD4" w:rsidP="001A4D4A">
      <w:r w:rsidRPr="00864F90">
        <w:t>Green infrastructure is the interconnected network of open spaces and natural areas, such as greenways, wetlands, parks, forest preserves and native plant vegetation, that naturally manages stormwater, reduces flooding risk and improves water quality</w:t>
      </w:r>
      <w:r w:rsidR="00B16DEF" w:rsidRPr="00B16DEF">
        <w:t xml:space="preserve"> </w:t>
      </w:r>
      <w:r w:rsidR="00B16DEF">
        <w:t>(</w:t>
      </w:r>
      <w:r w:rsidR="00B16DEF" w:rsidRPr="00864F90">
        <w:t>Center for Neighborhood Technology</w:t>
      </w:r>
      <w:r w:rsidRPr="00864F90">
        <w:t>.</w:t>
      </w:r>
      <w:r w:rsidR="00B16DEF">
        <w:t xml:space="preserve">2008). </w:t>
      </w:r>
      <w:r w:rsidRPr="00864F90">
        <w:t xml:space="preserve">Green infrastructure </w:t>
      </w:r>
      <w:r w:rsidR="00346102">
        <w:t>can</w:t>
      </w:r>
      <w:r w:rsidR="00346102" w:rsidRPr="00864F90">
        <w:t xml:space="preserve"> </w:t>
      </w:r>
      <w:r w:rsidRPr="00864F90">
        <w:t xml:space="preserve">cost less to install and maintain when compared to traditional forms of infrastructure. Green infrastructure projects also foster community cohesiveness by engaging all residents in the planning, planting and maintenance of the sites. </w:t>
      </w:r>
    </w:p>
    <w:p w:rsidR="001A4D4A" w:rsidRPr="00864F90" w:rsidRDefault="001A4D4A" w:rsidP="001A4D4A"/>
    <w:p w:rsidR="00864F90" w:rsidRPr="00864F90" w:rsidRDefault="00864F90" w:rsidP="001A4D4A">
      <w:pPr>
        <w:pStyle w:val="Heading2"/>
      </w:pPr>
      <w:bookmarkStart w:id="14" w:name="_Toc285015565"/>
      <w:r w:rsidRPr="00864F90">
        <w:t>Why use Green Infrastructure to manage wet weather?</w:t>
      </w:r>
      <w:bookmarkEnd w:id="14"/>
    </w:p>
    <w:p w:rsidR="009B1C17" w:rsidRPr="009B1C17" w:rsidRDefault="009B1C17" w:rsidP="009B1C17">
      <w:pPr>
        <w:rPr>
          <w:rFonts w:cs="Arial"/>
          <w:szCs w:val="20"/>
        </w:rPr>
      </w:pPr>
      <w:r>
        <w:rPr>
          <w:rFonts w:cs="Arial"/>
          <w:szCs w:val="20"/>
        </w:rPr>
        <w:t>The main drivers for using g</w:t>
      </w:r>
      <w:r w:rsidRPr="009B1C17">
        <w:rPr>
          <w:rFonts w:cs="Arial"/>
          <w:szCs w:val="20"/>
        </w:rPr>
        <w:t xml:space="preserve">reen infrastructure </w:t>
      </w:r>
      <w:r w:rsidR="00123852">
        <w:rPr>
          <w:rFonts w:cs="Arial"/>
          <w:szCs w:val="20"/>
        </w:rPr>
        <w:t>as</w:t>
      </w:r>
      <w:r w:rsidRPr="009B1C17">
        <w:rPr>
          <w:rFonts w:cs="Arial"/>
          <w:szCs w:val="20"/>
        </w:rPr>
        <w:t xml:space="preserve"> an approach to wet weather management </w:t>
      </w:r>
      <w:r>
        <w:rPr>
          <w:rFonts w:cs="Arial"/>
          <w:szCs w:val="20"/>
        </w:rPr>
        <w:t xml:space="preserve">is </w:t>
      </w:r>
      <w:r w:rsidRPr="009B1C17">
        <w:rPr>
          <w:rFonts w:cs="Arial"/>
          <w:szCs w:val="20"/>
        </w:rPr>
        <w:t xml:space="preserve">that </w:t>
      </w:r>
      <w:r>
        <w:rPr>
          <w:rFonts w:cs="Arial"/>
          <w:szCs w:val="20"/>
        </w:rPr>
        <w:t xml:space="preserve">it </w:t>
      </w:r>
      <w:r w:rsidR="00741DD4">
        <w:rPr>
          <w:rFonts w:cs="Arial"/>
          <w:szCs w:val="20"/>
        </w:rPr>
        <w:t xml:space="preserve">may </w:t>
      </w:r>
      <w:r w:rsidR="00B03B55">
        <w:rPr>
          <w:rFonts w:cs="Arial"/>
          <w:szCs w:val="20"/>
        </w:rPr>
        <w:t>be more</w:t>
      </w:r>
      <w:r w:rsidRPr="009B1C17">
        <w:rPr>
          <w:rFonts w:cs="Arial"/>
          <w:szCs w:val="20"/>
        </w:rPr>
        <w:t xml:space="preserve"> cost-effective</w:t>
      </w:r>
      <w:r w:rsidR="00123852">
        <w:rPr>
          <w:rFonts w:cs="Arial"/>
          <w:szCs w:val="20"/>
        </w:rPr>
        <w:t xml:space="preserve"> than gray infrastructure</w:t>
      </w:r>
      <w:r w:rsidRPr="009B1C17">
        <w:rPr>
          <w:rFonts w:cs="Arial"/>
          <w:szCs w:val="20"/>
        </w:rPr>
        <w:t xml:space="preserve">, </w:t>
      </w:r>
      <w:r w:rsidR="00346102">
        <w:rPr>
          <w:rFonts w:cs="Arial"/>
          <w:szCs w:val="20"/>
        </w:rPr>
        <w:t xml:space="preserve">and provides </w:t>
      </w:r>
      <w:r w:rsidRPr="009B1C17">
        <w:rPr>
          <w:rFonts w:cs="Arial"/>
          <w:szCs w:val="20"/>
        </w:rPr>
        <w:t>sustainable, and environmentally friendly</w:t>
      </w:r>
      <w:r w:rsidR="00346102">
        <w:rPr>
          <w:rFonts w:cs="Arial"/>
          <w:szCs w:val="20"/>
        </w:rPr>
        <w:t xml:space="preserve"> means of controlling wet weather discharges</w:t>
      </w:r>
      <w:r w:rsidRPr="009B1C17">
        <w:rPr>
          <w:rFonts w:cs="Arial"/>
          <w:szCs w:val="20"/>
        </w:rPr>
        <w:t>. Green Infrastructure management approaches and technologies infiltrate, evapotranspire, capture and reuse stormwater to maintain or restore the approximate hydrology that existed before development.</w:t>
      </w:r>
    </w:p>
    <w:p w:rsidR="009B1C17" w:rsidRPr="009B1C17" w:rsidRDefault="009B1C17" w:rsidP="009B1C17">
      <w:pPr>
        <w:rPr>
          <w:rFonts w:cs="Arial"/>
          <w:szCs w:val="20"/>
        </w:rPr>
      </w:pPr>
    </w:p>
    <w:p w:rsidR="009B1C17" w:rsidRPr="009B1C17" w:rsidRDefault="009B1C17" w:rsidP="009B1C17">
      <w:pPr>
        <w:rPr>
          <w:rFonts w:cs="Arial"/>
          <w:szCs w:val="20"/>
        </w:rPr>
      </w:pPr>
      <w:r w:rsidRPr="009B1C17">
        <w:rPr>
          <w:rFonts w:cs="Arial"/>
          <w:szCs w:val="20"/>
        </w:rPr>
        <w:t>At the largest scale, the preservation and restoration of natural landscape features (such as forests, floodplains and wetlands) are critical components of green stormwater infrastructure. By protecting these ecologically sensitive areas, communities can improve water quality while providing wildlife habitat and opportunities for outdoor recreation.</w:t>
      </w:r>
    </w:p>
    <w:p w:rsidR="009B1C17" w:rsidRPr="009B1C17" w:rsidRDefault="009B1C17" w:rsidP="009B1C17">
      <w:pPr>
        <w:rPr>
          <w:rFonts w:cs="Arial"/>
          <w:szCs w:val="20"/>
        </w:rPr>
      </w:pPr>
    </w:p>
    <w:p w:rsidR="009B1C17" w:rsidRPr="009B1C17" w:rsidRDefault="009B1C17" w:rsidP="009B1C17">
      <w:pPr>
        <w:rPr>
          <w:rFonts w:cs="Arial"/>
          <w:szCs w:val="20"/>
        </w:rPr>
      </w:pPr>
      <w:r w:rsidRPr="009B1C17">
        <w:rPr>
          <w:rFonts w:cs="Arial"/>
          <w:szCs w:val="20"/>
        </w:rPr>
        <w:t>On a smaller scale, green infrastructure practices include rain gardens, porous pavements, green roofs, infiltration planters, trees and tree boxes, and rainwater harvesting for non-potable uses such as toilet flushing and landscape irrigation</w:t>
      </w:r>
      <w:r w:rsidR="003660B6">
        <w:rPr>
          <w:rFonts w:cs="Arial"/>
          <w:szCs w:val="20"/>
        </w:rPr>
        <w:t>, all of which help to manage stormwater runoff</w:t>
      </w:r>
      <w:r w:rsidR="00212443">
        <w:rPr>
          <w:rFonts w:cs="Arial"/>
          <w:szCs w:val="20"/>
        </w:rPr>
        <w:t xml:space="preserve"> and improve water quality</w:t>
      </w:r>
      <w:r w:rsidRPr="009B1C17">
        <w:rPr>
          <w:rFonts w:cs="Arial"/>
          <w:szCs w:val="20"/>
        </w:rPr>
        <w:t xml:space="preserve">. </w:t>
      </w:r>
    </w:p>
    <w:p w:rsidR="009B1C17" w:rsidRPr="009B1C17" w:rsidRDefault="009B1C17" w:rsidP="009B1C17">
      <w:pPr>
        <w:rPr>
          <w:rFonts w:cs="Arial"/>
          <w:b/>
          <w:bCs/>
          <w:szCs w:val="20"/>
        </w:rPr>
      </w:pPr>
    </w:p>
    <w:p w:rsidR="009B1C17" w:rsidRPr="009B1C17" w:rsidRDefault="009B1C17" w:rsidP="009B1C17">
      <w:pPr>
        <w:rPr>
          <w:rFonts w:cs="Arial"/>
          <w:szCs w:val="20"/>
        </w:rPr>
      </w:pPr>
    </w:p>
    <w:p w:rsidR="009B1C17" w:rsidRDefault="009B1C17" w:rsidP="009B1C17">
      <w:pPr>
        <w:rPr>
          <w:rFonts w:cs="Arial"/>
          <w:b/>
          <w:bCs/>
          <w:szCs w:val="20"/>
        </w:rPr>
      </w:pPr>
      <w:r w:rsidRPr="009B1C17">
        <w:rPr>
          <w:rFonts w:cs="Arial"/>
          <w:b/>
          <w:bCs/>
          <w:szCs w:val="20"/>
        </w:rPr>
        <w:t>Why Use Green Infrastructure to Reduce CSO Events?</w:t>
      </w:r>
    </w:p>
    <w:p w:rsidR="00864F90" w:rsidRPr="009B1C17" w:rsidRDefault="00864F90" w:rsidP="009B1C17">
      <w:pPr>
        <w:rPr>
          <w:rFonts w:cs="Arial"/>
          <w:b/>
          <w:bCs/>
          <w:szCs w:val="20"/>
        </w:rPr>
      </w:pPr>
    </w:p>
    <w:p w:rsidR="009B1C17" w:rsidRPr="009B1C17" w:rsidRDefault="009B1C17" w:rsidP="009B1C17">
      <w:pPr>
        <w:rPr>
          <w:rFonts w:cs="Arial"/>
          <w:b/>
          <w:bCs/>
          <w:szCs w:val="20"/>
        </w:rPr>
      </w:pPr>
      <w:r w:rsidRPr="009B1C17">
        <w:rPr>
          <w:rFonts w:cs="Arial"/>
          <w:szCs w:val="20"/>
        </w:rPr>
        <w:t xml:space="preserve">The natural retention and infiltration capabilities of plants and soils used in green infrastructure practices limits the frequency of </w:t>
      </w:r>
      <w:r w:rsidR="00333E81">
        <w:rPr>
          <w:rFonts w:cs="Arial"/>
          <w:szCs w:val="20"/>
        </w:rPr>
        <w:t xml:space="preserve">combined </w:t>
      </w:r>
      <w:r w:rsidRPr="009B1C17">
        <w:rPr>
          <w:rFonts w:cs="Arial"/>
          <w:szCs w:val="20"/>
        </w:rPr>
        <w:t>sewer overflow events by reducing runoff volumes and by reducing and delaying the effects of stormwater discharges</w:t>
      </w:r>
      <w:bookmarkEnd w:id="12"/>
      <w:r w:rsidRPr="009B1C17">
        <w:rPr>
          <w:rFonts w:cs="Arial"/>
          <w:szCs w:val="20"/>
        </w:rPr>
        <w:t xml:space="preserve"> on the CSS.</w:t>
      </w:r>
    </w:p>
    <w:p w:rsidR="009B1C17" w:rsidRPr="009B1C17" w:rsidRDefault="009B1C17" w:rsidP="009B1C17">
      <w:pPr>
        <w:rPr>
          <w:rFonts w:cs="Arial"/>
          <w:b/>
          <w:bCs/>
          <w:szCs w:val="20"/>
        </w:rPr>
      </w:pPr>
    </w:p>
    <w:p w:rsidR="009B1C17" w:rsidRDefault="009B1C17" w:rsidP="009B1C17">
      <w:pPr>
        <w:rPr>
          <w:rFonts w:cs="Arial"/>
          <w:b/>
          <w:szCs w:val="20"/>
        </w:rPr>
      </w:pPr>
      <w:r w:rsidRPr="009B1C17">
        <w:rPr>
          <w:rFonts w:cs="Arial"/>
          <w:b/>
          <w:szCs w:val="20"/>
        </w:rPr>
        <w:t>CSO Control Policy</w:t>
      </w:r>
    </w:p>
    <w:p w:rsidR="00864F90" w:rsidRPr="009B1C17" w:rsidRDefault="00864F90" w:rsidP="009B1C17">
      <w:pPr>
        <w:rPr>
          <w:rFonts w:cs="Arial"/>
          <w:b/>
          <w:szCs w:val="20"/>
        </w:rPr>
      </w:pPr>
    </w:p>
    <w:p w:rsidR="009B1C17" w:rsidRDefault="009B1C17" w:rsidP="009B1C17">
      <w:pPr>
        <w:rPr>
          <w:rFonts w:cs="Arial"/>
          <w:szCs w:val="20"/>
        </w:rPr>
      </w:pPr>
      <w:r w:rsidRPr="009B1C17">
        <w:rPr>
          <w:rFonts w:cs="Arial"/>
          <w:szCs w:val="20"/>
        </w:rPr>
        <w:t>The CSO Control Policy contains four fundamental principles to ensure that CSO controls are cost-effective and meet environmental objectives:</w:t>
      </w:r>
    </w:p>
    <w:p w:rsidR="00B41BD1" w:rsidRDefault="00B41BD1" w:rsidP="009B1C17">
      <w:pPr>
        <w:rPr>
          <w:rFonts w:cs="Arial"/>
          <w:szCs w:val="20"/>
        </w:rPr>
      </w:pPr>
    </w:p>
    <w:p w:rsidR="00A040D4" w:rsidRDefault="00B41BD1" w:rsidP="001A4D4A">
      <w:pPr>
        <w:pStyle w:val="bulletsmall"/>
      </w:pPr>
      <w:r>
        <w:t>Providing clear levels of control that would be presumed to meet appropriate health and environmental objectives</w:t>
      </w:r>
    </w:p>
    <w:p w:rsidR="00B41BD1" w:rsidRDefault="00B41BD1" w:rsidP="001A4D4A">
      <w:pPr>
        <w:pStyle w:val="bulletsmall"/>
      </w:pPr>
      <w:r>
        <w:t>Providing sufficient flexibility to municipalities, especially financially disadvantaged communities, to consider the site-specific nature of CSOs and to determine the most cost-effective means of reducing pollutants and meeting CWA objectives and requirements</w:t>
      </w:r>
    </w:p>
    <w:p w:rsidR="00B41BD1" w:rsidRDefault="00B41BD1" w:rsidP="001A4D4A">
      <w:pPr>
        <w:pStyle w:val="bulletsmall"/>
      </w:pPr>
      <w:r>
        <w:t>Allowing a phased approach to implementation of CSO controls considering a community’s financial capability</w:t>
      </w:r>
    </w:p>
    <w:p w:rsidR="00B41BD1" w:rsidRDefault="00B41BD1" w:rsidP="001A4D4A">
      <w:pPr>
        <w:pStyle w:val="bulletsmall"/>
      </w:pPr>
      <w:r>
        <w:t xml:space="preserve">Review and revision, as appropriate, of water quality standards and their implementation procedures when developing CSO control plans to reflect the site-specific wet weather impacts of CSOs </w:t>
      </w:r>
    </w:p>
    <w:p w:rsidR="00B41BD1" w:rsidRPr="009B1C17" w:rsidRDefault="00B41BD1" w:rsidP="009B1C17">
      <w:pPr>
        <w:rPr>
          <w:rFonts w:cs="Arial"/>
          <w:szCs w:val="20"/>
        </w:rPr>
      </w:pPr>
    </w:p>
    <w:p w:rsidR="009B1C17" w:rsidRPr="00A93CE6" w:rsidRDefault="009B1C17" w:rsidP="009B1C17">
      <w:pPr>
        <w:rPr>
          <w:rFonts w:cs="Arial"/>
          <w:b/>
          <w:szCs w:val="20"/>
        </w:rPr>
      </w:pPr>
      <w:r w:rsidRPr="00A93CE6">
        <w:rPr>
          <w:rFonts w:cs="Arial"/>
          <w:b/>
          <w:szCs w:val="20"/>
        </w:rPr>
        <w:t>Green infrastructure practices support implementation of the nine minimum controls and long term control plans by reducing runoff to</w:t>
      </w:r>
    </w:p>
    <w:p w:rsidR="009B1C17" w:rsidRPr="009B1C17" w:rsidRDefault="009B1C17" w:rsidP="009B1C17">
      <w:pPr>
        <w:rPr>
          <w:rFonts w:cs="Arial"/>
          <w:szCs w:val="20"/>
        </w:rPr>
      </w:pPr>
      <w:r w:rsidRPr="009B1C17">
        <w:rPr>
          <w:rFonts w:cs="Arial"/>
          <w:szCs w:val="20"/>
        </w:rPr>
        <w:t xml:space="preserve"> </w:t>
      </w:r>
    </w:p>
    <w:p w:rsidR="009B1C17" w:rsidRPr="009B1C17" w:rsidRDefault="009B1C17" w:rsidP="001A4D4A">
      <w:pPr>
        <w:pStyle w:val="bulletsmall"/>
      </w:pPr>
      <w:r w:rsidRPr="009B1C17">
        <w:t xml:space="preserve">Maximize use of the collection system for storage </w:t>
      </w:r>
    </w:p>
    <w:p w:rsidR="009B1C17" w:rsidRDefault="009B1C17" w:rsidP="001A4D4A">
      <w:pPr>
        <w:pStyle w:val="bulletsmall"/>
      </w:pPr>
      <w:r w:rsidRPr="009B1C17">
        <w:lastRenderedPageBreak/>
        <w:t xml:space="preserve">Maximize flow to the POTW for treatment </w:t>
      </w:r>
    </w:p>
    <w:p w:rsidR="0078642E" w:rsidRPr="009B1C17" w:rsidRDefault="0078642E" w:rsidP="001A4D4A">
      <w:pPr>
        <w:pStyle w:val="bulletsmall"/>
      </w:pPr>
      <w:r>
        <w:t>Minimizing and/or reducing the peaking factor</w:t>
      </w:r>
    </w:p>
    <w:p w:rsidR="009B1C17" w:rsidRPr="009B1C17" w:rsidRDefault="009B1C17" w:rsidP="001A4D4A">
      <w:pPr>
        <w:pStyle w:val="bulletsmall"/>
      </w:pPr>
      <w:r w:rsidRPr="009B1C17">
        <w:t xml:space="preserve">Support pollution prevention </w:t>
      </w:r>
    </w:p>
    <w:p w:rsidR="0078642E" w:rsidRPr="009B1C17" w:rsidRDefault="009B1C17" w:rsidP="001A4D4A">
      <w:pPr>
        <w:pStyle w:val="bulletsmall"/>
      </w:pPr>
      <w:r w:rsidRPr="009B1C17">
        <w:t>Support proper operation and regular maintenance</w:t>
      </w:r>
    </w:p>
    <w:p w:rsidR="009B1C17" w:rsidRPr="009B1C17" w:rsidRDefault="009B1C17" w:rsidP="009B1C17">
      <w:pPr>
        <w:rPr>
          <w:rFonts w:cs="Arial"/>
          <w:szCs w:val="20"/>
        </w:rPr>
      </w:pPr>
    </w:p>
    <w:p w:rsidR="009B1C17" w:rsidRPr="009B1C17" w:rsidRDefault="009B1C17" w:rsidP="009B1C17">
      <w:pPr>
        <w:rPr>
          <w:rFonts w:cs="Arial"/>
          <w:szCs w:val="20"/>
        </w:rPr>
      </w:pPr>
      <w:r w:rsidRPr="009B1C17">
        <w:rPr>
          <w:rFonts w:cs="Arial"/>
          <w:szCs w:val="20"/>
        </w:rPr>
        <w:t>Green infrastructure practices use vegetation and soils in urban and suburban areas to manage and treat precipitation naturally rather than collecting it in pipes. Thus, by preserving natural systems and using engineered systems such as green roofs, rain gardens, and vegetated swales, green infrastructure mimics natural functions.  Green infrastructure also includes approaches that capture and re-use stormwater and provides the following benefits:</w:t>
      </w:r>
    </w:p>
    <w:p w:rsidR="009B1C17" w:rsidRPr="009B1C17" w:rsidRDefault="009B1C17" w:rsidP="009B1C17">
      <w:pPr>
        <w:rPr>
          <w:rFonts w:cs="Arial"/>
          <w:szCs w:val="20"/>
        </w:rPr>
      </w:pPr>
    </w:p>
    <w:p w:rsidR="009B1C17" w:rsidRPr="009B1C17" w:rsidRDefault="009B1C17" w:rsidP="001A4D4A">
      <w:pPr>
        <w:pStyle w:val="bulletsmall"/>
      </w:pPr>
      <w:r w:rsidRPr="009B1C17">
        <w:t xml:space="preserve">Create peak and baseload capacity via conservation </w:t>
      </w:r>
    </w:p>
    <w:p w:rsidR="009B1C17" w:rsidRPr="009B1C17" w:rsidRDefault="009B1C17" w:rsidP="001A4D4A">
      <w:pPr>
        <w:pStyle w:val="bulletsmall"/>
      </w:pPr>
      <w:r w:rsidRPr="009B1C17">
        <w:t xml:space="preserve">Effective for both new development and retrofit applications </w:t>
      </w:r>
    </w:p>
    <w:p w:rsidR="009B1C17" w:rsidRPr="009B1C17" w:rsidRDefault="009B1C17" w:rsidP="001A4D4A">
      <w:pPr>
        <w:pStyle w:val="bulletsmall"/>
      </w:pPr>
      <w:r w:rsidRPr="009B1C17">
        <w:t xml:space="preserve">Adapt, (re)naturalize built landscape to absorb, treat and hold water </w:t>
      </w:r>
    </w:p>
    <w:p w:rsidR="009B1C17" w:rsidRPr="009B1C17" w:rsidRDefault="009B1C17" w:rsidP="001A4D4A">
      <w:pPr>
        <w:pStyle w:val="bulletsmall"/>
      </w:pPr>
      <w:r w:rsidRPr="009B1C17">
        <w:rPr>
          <w:bCs/>
        </w:rPr>
        <w:t xml:space="preserve">Restore, recycle and extend </w:t>
      </w:r>
      <w:r w:rsidRPr="009B1C17">
        <w:t>natural and built regional infrastructure</w:t>
      </w:r>
      <w:r w:rsidRPr="009B1C17">
        <w:rPr>
          <w:bCs/>
        </w:rPr>
        <w:t xml:space="preserve"> </w:t>
      </w:r>
    </w:p>
    <w:p w:rsidR="009B1C17" w:rsidRPr="009B1C17" w:rsidRDefault="009B1C17" w:rsidP="001A4D4A">
      <w:pPr>
        <w:pStyle w:val="bulletsmall"/>
      </w:pPr>
      <w:r w:rsidRPr="009B1C17">
        <w:t xml:space="preserve">Performance can be measured and valued in volume left in natural drainage </w:t>
      </w:r>
    </w:p>
    <w:p w:rsidR="009B1C17" w:rsidRPr="009B1C17" w:rsidRDefault="009B1C17" w:rsidP="001A4D4A">
      <w:pPr>
        <w:pStyle w:val="bulletsmall"/>
      </w:pPr>
      <w:r w:rsidRPr="009B1C17">
        <w:t xml:space="preserve">Drainage, flood control and pollution prevention moves upstream from treatment plant to distributed sites closer to water’s origins </w:t>
      </w:r>
    </w:p>
    <w:p w:rsidR="009B1C17" w:rsidRPr="009B1C17" w:rsidRDefault="009B1C17" w:rsidP="001A4D4A">
      <w:pPr>
        <w:pStyle w:val="bulletsmall"/>
      </w:pPr>
      <w:r w:rsidRPr="009B1C17">
        <w:t xml:space="preserve">Provides broad range of economic, social and ecological benefits (triple bottom line) </w:t>
      </w:r>
    </w:p>
    <w:p w:rsidR="009B1C17" w:rsidRPr="009B1C17" w:rsidRDefault="009B1C17" w:rsidP="001A4D4A">
      <w:pPr>
        <w:pStyle w:val="bulletsmall"/>
      </w:pPr>
      <w:r w:rsidRPr="009B1C17">
        <w:t>Highly effective</w:t>
      </w:r>
      <w:r w:rsidRPr="009B1C17">
        <w:rPr>
          <w:bCs/>
        </w:rPr>
        <w:t xml:space="preserve"> </w:t>
      </w:r>
      <w:r w:rsidRPr="009B1C17">
        <w:t xml:space="preserve">for stormwater runoff reduction and pollutant removal </w:t>
      </w:r>
    </w:p>
    <w:p w:rsidR="009B1C17" w:rsidRPr="009B1C17" w:rsidRDefault="009B1C17" w:rsidP="001A4D4A">
      <w:pPr>
        <w:pStyle w:val="bulletsmall"/>
      </w:pPr>
      <w:r w:rsidRPr="009B1C17">
        <w:t>Saves money compared to conventional infrastructure</w:t>
      </w:r>
    </w:p>
    <w:p w:rsidR="009B1C17" w:rsidRPr="009B1C17" w:rsidRDefault="009B1C17" w:rsidP="001A4D4A">
      <w:pPr>
        <w:pStyle w:val="bulletsmall"/>
      </w:pPr>
      <w:r w:rsidRPr="009B1C17">
        <w:t>Delivers multiple community benefits along with stormwater management</w:t>
      </w:r>
    </w:p>
    <w:p w:rsidR="009B1C17" w:rsidRPr="009B1C17" w:rsidRDefault="009B1C17" w:rsidP="009B1C17">
      <w:pPr>
        <w:rPr>
          <w:rFonts w:cs="Arial"/>
          <w:szCs w:val="20"/>
        </w:rPr>
      </w:pPr>
    </w:p>
    <w:p w:rsidR="00D00E3D" w:rsidRDefault="0078642E" w:rsidP="003B2F9C">
      <w:pPr>
        <w:pStyle w:val="Caption"/>
      </w:pPr>
      <w:r w:rsidRPr="00A93CE6">
        <w:t>Benefits of using Green Infrastructure</w:t>
      </w:r>
    </w:p>
    <w:p w:rsidR="00F5101F" w:rsidRPr="00F5101F" w:rsidRDefault="00F5101F" w:rsidP="00F5101F"/>
    <w:p w:rsidR="00542AB8" w:rsidRPr="003B2F9C" w:rsidRDefault="00542AB8" w:rsidP="001A4D4A">
      <w:pPr>
        <w:pStyle w:val="bulletsmall"/>
      </w:pPr>
      <w:r w:rsidRPr="003B2F9C">
        <w:t>Cleaner water</w:t>
      </w:r>
    </w:p>
    <w:p w:rsidR="00542AB8" w:rsidRPr="003B2F9C" w:rsidRDefault="00542AB8" w:rsidP="001A4D4A">
      <w:pPr>
        <w:pStyle w:val="bulletsmall"/>
      </w:pPr>
      <w:r w:rsidRPr="003B2F9C">
        <w:t>Stable hydrology/baseflow maintenance</w:t>
      </w:r>
    </w:p>
    <w:p w:rsidR="00542AB8" w:rsidRPr="003B2F9C" w:rsidRDefault="00542AB8" w:rsidP="001A4D4A">
      <w:pPr>
        <w:pStyle w:val="bulletsmall"/>
      </w:pPr>
      <w:r w:rsidRPr="003B2F9C">
        <w:t xml:space="preserve">Reduced flooding </w:t>
      </w:r>
    </w:p>
    <w:p w:rsidR="00542AB8" w:rsidRPr="003B2F9C" w:rsidRDefault="00542AB8" w:rsidP="001A4D4A">
      <w:pPr>
        <w:pStyle w:val="bulletsmall"/>
      </w:pPr>
      <w:r w:rsidRPr="003B2F9C">
        <w:t>Cleaner air</w:t>
      </w:r>
    </w:p>
    <w:p w:rsidR="00542AB8" w:rsidRPr="003B2F9C" w:rsidRDefault="00542AB8" w:rsidP="001A4D4A">
      <w:pPr>
        <w:pStyle w:val="bulletsmall"/>
      </w:pPr>
      <w:r w:rsidRPr="003B2F9C">
        <w:t>Reduced urban temperatures</w:t>
      </w:r>
    </w:p>
    <w:p w:rsidR="00542AB8" w:rsidRPr="003B2F9C" w:rsidRDefault="00542AB8" w:rsidP="001A4D4A">
      <w:pPr>
        <w:pStyle w:val="bulletsmall"/>
      </w:pPr>
      <w:r w:rsidRPr="003B2F9C">
        <w:t>Climate change mitigation and adaptation</w:t>
      </w:r>
    </w:p>
    <w:p w:rsidR="00542AB8" w:rsidRPr="003B2F9C" w:rsidRDefault="00542AB8" w:rsidP="001A4D4A">
      <w:pPr>
        <w:pStyle w:val="bulletsmall"/>
      </w:pPr>
      <w:r w:rsidRPr="003B2F9C">
        <w:t>Jobs creation</w:t>
      </w:r>
    </w:p>
    <w:p w:rsidR="00542AB8" w:rsidRPr="003B2F9C" w:rsidRDefault="00542AB8" w:rsidP="001A4D4A">
      <w:pPr>
        <w:pStyle w:val="bulletsmall"/>
      </w:pPr>
      <w:r w:rsidRPr="003B2F9C">
        <w:t>Water supply</w:t>
      </w:r>
    </w:p>
    <w:p w:rsidR="00542AB8" w:rsidRPr="003B2F9C" w:rsidRDefault="00542AB8" w:rsidP="001A4D4A">
      <w:pPr>
        <w:pStyle w:val="bulletsmall"/>
      </w:pPr>
      <w:r w:rsidRPr="003B2F9C">
        <w:t>Energy savings</w:t>
      </w:r>
    </w:p>
    <w:p w:rsidR="00542AB8" w:rsidRPr="003B2F9C" w:rsidRDefault="00542AB8" w:rsidP="001A4D4A">
      <w:pPr>
        <w:pStyle w:val="bulletsmall"/>
      </w:pPr>
      <w:r w:rsidRPr="003B2F9C">
        <w:t>Community benefits (recreation, public health, crime prevention)</w:t>
      </w:r>
    </w:p>
    <w:p w:rsidR="00542AB8" w:rsidRPr="003B2F9C" w:rsidRDefault="00542AB8" w:rsidP="001A4D4A">
      <w:pPr>
        <w:pStyle w:val="bulletsmall"/>
      </w:pPr>
      <w:r w:rsidRPr="003B2F9C">
        <w:t>Cost savings</w:t>
      </w:r>
    </w:p>
    <w:p w:rsidR="00542AB8" w:rsidRPr="003B2F9C" w:rsidRDefault="00542AB8" w:rsidP="001A4D4A">
      <w:pPr>
        <w:pStyle w:val="bulletsmall"/>
      </w:pPr>
      <w:r w:rsidRPr="003B2F9C">
        <w:t>Habitat protection</w:t>
      </w:r>
    </w:p>
    <w:p w:rsidR="0062464E" w:rsidRDefault="0062464E" w:rsidP="0062464E">
      <w:pPr>
        <w:spacing w:after="120"/>
        <w:rPr>
          <w:rFonts w:cs="Arial"/>
          <w:szCs w:val="20"/>
        </w:rPr>
        <w:sectPr w:rsidR="0062464E" w:rsidSect="00815ECA">
          <w:headerReference w:type="even" r:id="rId20"/>
          <w:headerReference w:type="default" r:id="rId21"/>
          <w:footerReference w:type="even" r:id="rId22"/>
          <w:footerReference w:type="default" r:id="rId23"/>
          <w:endnotePr>
            <w:numFmt w:val="decimal"/>
            <w:numRestart w:val="eachSect"/>
          </w:endnotePr>
          <w:pgSz w:w="12240" w:h="15840" w:code="1"/>
          <w:pgMar w:top="1440" w:right="1440" w:bottom="1440" w:left="1440" w:header="720" w:footer="720" w:gutter="0"/>
          <w:pgNumType w:start="1"/>
          <w:cols w:space="720"/>
          <w:docGrid w:linePitch="360"/>
        </w:sectPr>
      </w:pPr>
    </w:p>
    <w:p w:rsidR="0062464E" w:rsidRDefault="0062464E" w:rsidP="00F576CC">
      <w:pPr>
        <w:pStyle w:val="Heading1"/>
      </w:pPr>
      <w:bookmarkStart w:id="15" w:name="_Toc285015566"/>
      <w:r w:rsidRPr="00C323E5">
        <w:lastRenderedPageBreak/>
        <w:t>Checklist of Materials Recommended for Completing Green LTCP-EZ</w:t>
      </w:r>
      <w:bookmarkEnd w:id="15"/>
    </w:p>
    <w:p w:rsidR="0062464E" w:rsidRPr="009F40E3" w:rsidRDefault="0062464E" w:rsidP="0062464E">
      <w:pPr>
        <w:spacing w:after="120"/>
        <w:rPr>
          <w:rFonts w:cs="Arial"/>
          <w:szCs w:val="20"/>
        </w:rPr>
      </w:pPr>
      <w:r w:rsidRPr="009F40E3">
        <w:rPr>
          <w:rFonts w:cs="Arial"/>
          <w:szCs w:val="20"/>
        </w:rPr>
        <w:t xml:space="preserve">Note:  This checklist is for use with the instructions beginning on </w:t>
      </w:r>
      <w:r w:rsidRPr="00EF7821">
        <w:rPr>
          <w:rFonts w:cs="Arial"/>
          <w:szCs w:val="20"/>
        </w:rPr>
        <w:t xml:space="preserve">page </w:t>
      </w:r>
      <w:r w:rsidR="00EF7821" w:rsidRPr="00EF7821">
        <w:rPr>
          <w:rFonts w:cs="Arial"/>
          <w:szCs w:val="20"/>
        </w:rPr>
        <w:t>1</w:t>
      </w:r>
      <w:r w:rsidR="003C6881">
        <w:rPr>
          <w:rFonts w:cs="Arial"/>
          <w:szCs w:val="20"/>
        </w:rPr>
        <w:t>3</w:t>
      </w:r>
      <w:r w:rsidRPr="00EF7821">
        <w:rPr>
          <w:rFonts w:cs="Arial"/>
          <w:szCs w:val="20"/>
        </w:rPr>
        <w:t>. The</w:t>
      </w:r>
      <w:r w:rsidRPr="009F40E3">
        <w:rPr>
          <w:rFonts w:cs="Arial"/>
          <w:szCs w:val="20"/>
        </w:rPr>
        <w:t xml:space="preserve"> NPDES permit and information from various departments within the local utility or state and/or federal government will be essential sources of much of the information needed.  These sources, relevant engineering studies and facility plans for the sewer system and WWTP and the web sites listed below will generally be the information sources necessary to complete the template.</w:t>
      </w:r>
    </w:p>
    <w:tbl>
      <w:tblPr>
        <w:tblW w:w="139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01" w:type="dxa"/>
        </w:tblCellMar>
        <w:tblLook w:val="04A0" w:firstRow="1" w:lastRow="0" w:firstColumn="1" w:lastColumn="0" w:noHBand="0" w:noVBand="1"/>
      </w:tblPr>
      <w:tblGrid>
        <w:gridCol w:w="6210"/>
        <w:gridCol w:w="2430"/>
        <w:gridCol w:w="5310"/>
      </w:tblGrid>
      <w:tr w:rsidR="0062464E" w:rsidTr="00820461">
        <w:trPr>
          <w:cantSplit/>
          <w:tblHeader/>
        </w:trPr>
        <w:tc>
          <w:tcPr>
            <w:tcW w:w="6210" w:type="dxa"/>
            <w:vAlign w:val="bottom"/>
          </w:tcPr>
          <w:p w:rsidR="0062464E" w:rsidRPr="0062464E" w:rsidRDefault="0062464E" w:rsidP="00205580">
            <w:pPr>
              <w:spacing w:before="40" w:after="60"/>
              <w:jc w:val="center"/>
              <w:rPr>
                <w:rFonts w:cs="Arial"/>
                <w:b/>
                <w:szCs w:val="20"/>
              </w:rPr>
            </w:pPr>
            <w:r w:rsidRPr="0062464E">
              <w:rPr>
                <w:rFonts w:cs="Arial"/>
                <w:b/>
                <w:szCs w:val="20"/>
              </w:rPr>
              <w:t>Item and Line Number on Form</w:t>
            </w:r>
          </w:p>
        </w:tc>
        <w:tc>
          <w:tcPr>
            <w:tcW w:w="2430" w:type="dxa"/>
            <w:vAlign w:val="bottom"/>
          </w:tcPr>
          <w:p w:rsidR="0062464E" w:rsidRPr="0062464E" w:rsidRDefault="0062464E" w:rsidP="00205580">
            <w:pPr>
              <w:spacing w:before="40" w:after="60"/>
              <w:jc w:val="center"/>
              <w:rPr>
                <w:rFonts w:cs="Arial"/>
                <w:b/>
                <w:szCs w:val="20"/>
              </w:rPr>
            </w:pPr>
            <w:r w:rsidRPr="0062464E">
              <w:rPr>
                <w:rFonts w:cs="Arial"/>
                <w:b/>
                <w:szCs w:val="20"/>
              </w:rPr>
              <w:t>Most Likely Information Source</w:t>
            </w:r>
          </w:p>
        </w:tc>
        <w:tc>
          <w:tcPr>
            <w:tcW w:w="5310" w:type="dxa"/>
            <w:vAlign w:val="bottom"/>
          </w:tcPr>
          <w:p w:rsidR="0062464E" w:rsidRPr="0062464E" w:rsidRDefault="0062464E" w:rsidP="00205580">
            <w:pPr>
              <w:spacing w:before="40" w:after="60"/>
              <w:jc w:val="center"/>
              <w:rPr>
                <w:rFonts w:cs="Arial"/>
                <w:b/>
                <w:szCs w:val="20"/>
              </w:rPr>
            </w:pPr>
            <w:r w:rsidRPr="0062464E">
              <w:rPr>
                <w:rFonts w:cs="Arial"/>
                <w:b/>
                <w:szCs w:val="20"/>
              </w:rPr>
              <w:t>Actual Source Used/Comments</w:t>
            </w:r>
          </w:p>
        </w:tc>
      </w:tr>
      <w:tr w:rsidR="0062464E" w:rsidTr="00820461">
        <w:trPr>
          <w:cantSplit/>
        </w:trPr>
        <w:tc>
          <w:tcPr>
            <w:tcW w:w="6210" w:type="dxa"/>
          </w:tcPr>
          <w:p w:rsidR="0062464E" w:rsidRPr="0062464E" w:rsidRDefault="0062464E" w:rsidP="00205580">
            <w:pPr>
              <w:spacing w:before="40" w:after="60"/>
              <w:rPr>
                <w:rFonts w:cs="Arial"/>
                <w:b/>
                <w:i/>
                <w:szCs w:val="20"/>
              </w:rPr>
            </w:pPr>
            <w:r w:rsidRPr="0062464E">
              <w:rPr>
                <w:rFonts w:cs="Arial"/>
                <w:szCs w:val="20"/>
              </w:rPr>
              <w:t>Community and system information</w:t>
            </w:r>
            <w:r w:rsidRPr="0062464E">
              <w:rPr>
                <w:rFonts w:cs="Arial"/>
                <w:b/>
                <w:szCs w:val="20"/>
              </w:rPr>
              <w:t xml:space="preserve"> </w:t>
            </w:r>
            <w:r w:rsidRPr="0062464E">
              <w:rPr>
                <w:rFonts w:cs="Arial"/>
                <w:szCs w:val="20"/>
              </w:rPr>
              <w:t>(</w:t>
            </w:r>
            <w:r w:rsidRPr="0062464E">
              <w:rPr>
                <w:rFonts w:cs="Arial"/>
                <w:b/>
                <w:szCs w:val="20"/>
              </w:rPr>
              <w:t>Form LTCP-EZ</w:t>
            </w:r>
            <w:r w:rsidRPr="0062464E">
              <w:rPr>
                <w:rFonts w:cs="Arial"/>
                <w:szCs w:val="20"/>
              </w:rPr>
              <w:t>, Lines 1 &amp; 2)</w:t>
            </w:r>
          </w:p>
        </w:tc>
        <w:tc>
          <w:tcPr>
            <w:tcW w:w="2430" w:type="dxa"/>
          </w:tcPr>
          <w:p w:rsidR="0062464E" w:rsidRPr="0062464E" w:rsidRDefault="0062464E" w:rsidP="00205580">
            <w:pPr>
              <w:spacing w:before="40" w:after="60"/>
              <w:jc w:val="center"/>
              <w:rPr>
                <w:rFonts w:cs="Arial"/>
                <w:szCs w:val="20"/>
              </w:rPr>
            </w:pPr>
            <w:r w:rsidRPr="0062464E">
              <w:rPr>
                <w:rFonts w:cs="Arial"/>
                <w:szCs w:val="20"/>
              </w:rPr>
              <w:t>Facility or system owner/operator</w:t>
            </w:r>
          </w:p>
        </w:tc>
        <w:tc>
          <w:tcPr>
            <w:tcW w:w="5310" w:type="dxa"/>
          </w:tcPr>
          <w:p w:rsidR="0062464E" w:rsidRPr="0062464E" w:rsidRDefault="0062464E" w:rsidP="00205580">
            <w:pPr>
              <w:spacing w:before="40" w:after="60"/>
              <w:jc w:val="center"/>
              <w:rPr>
                <w:rFonts w:cs="Arial"/>
                <w:b/>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CSS area (</w:t>
            </w:r>
            <w:r w:rsidRPr="0062464E">
              <w:rPr>
                <w:rFonts w:cs="Arial"/>
                <w:b/>
                <w:szCs w:val="20"/>
              </w:rPr>
              <w:t>Form LTCP-EZ</w:t>
            </w:r>
            <w:r w:rsidRPr="0062464E">
              <w:rPr>
                <w:rFonts w:cs="Arial"/>
                <w:szCs w:val="20"/>
              </w:rPr>
              <w:t>, Line 3a)</w:t>
            </w:r>
          </w:p>
        </w:tc>
        <w:tc>
          <w:tcPr>
            <w:tcW w:w="2430" w:type="dxa"/>
          </w:tcPr>
          <w:p w:rsidR="0062464E" w:rsidRPr="0062464E" w:rsidRDefault="0062464E" w:rsidP="00205580">
            <w:pPr>
              <w:spacing w:before="40" w:after="60"/>
              <w:jc w:val="center"/>
              <w:rPr>
                <w:rFonts w:cs="Arial"/>
                <w:szCs w:val="20"/>
              </w:rPr>
            </w:pPr>
            <w:r w:rsidRPr="0062464E">
              <w:rPr>
                <w:rFonts w:cs="Arial"/>
                <w:szCs w:val="20"/>
              </w:rPr>
              <w:t xml:space="preserve"> NPDES permit, engineering studies or local utility/government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Number of outfalls (</w:t>
            </w:r>
            <w:r w:rsidRPr="0062464E">
              <w:rPr>
                <w:rFonts w:cs="Arial"/>
                <w:b/>
                <w:szCs w:val="20"/>
              </w:rPr>
              <w:t>Form LTCP-EZ</w:t>
            </w:r>
            <w:r w:rsidRPr="0062464E">
              <w:rPr>
                <w:rFonts w:cs="Arial"/>
                <w:szCs w:val="20"/>
              </w:rPr>
              <w:t>, Line 3b)</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WWTP capacity (</w:t>
            </w:r>
            <w:r w:rsidRPr="0062464E">
              <w:rPr>
                <w:rFonts w:cs="Arial"/>
                <w:b/>
                <w:szCs w:val="20"/>
              </w:rPr>
              <w:t>Form LTCP-EZ</w:t>
            </w:r>
            <w:r w:rsidRPr="0062464E">
              <w:rPr>
                <w:rFonts w:cs="Arial"/>
                <w:szCs w:val="20"/>
              </w:rPr>
              <w:t>, Lines 4a &amp; 4b) for both primary and secondary treatment units</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Average dry weather WWTP Flow (</w:t>
            </w:r>
            <w:r w:rsidRPr="0062464E">
              <w:rPr>
                <w:rFonts w:cs="Arial"/>
                <w:b/>
                <w:szCs w:val="20"/>
              </w:rPr>
              <w:t>Form LTCP-EZ</w:t>
            </w:r>
            <w:r w:rsidRPr="0062464E">
              <w:rPr>
                <w:rFonts w:cs="Arial"/>
                <w:szCs w:val="20"/>
              </w:rPr>
              <w:t>, Line 4c)</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Nine Minimum Controls (</w:t>
            </w:r>
            <w:r w:rsidRPr="0062464E">
              <w:rPr>
                <w:rFonts w:cs="Arial"/>
                <w:b/>
                <w:szCs w:val="20"/>
              </w:rPr>
              <w:t>Form LTCP-EZ</w:t>
            </w:r>
            <w:r w:rsidRPr="0062464E">
              <w:rPr>
                <w:rFonts w:cs="Arial"/>
                <w:szCs w:val="20"/>
              </w:rPr>
              <w:t>, Line 5)</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Sensitive Areas (</w:t>
            </w:r>
            <w:r w:rsidRPr="0062464E">
              <w:rPr>
                <w:rFonts w:cs="Arial"/>
                <w:b/>
                <w:szCs w:val="20"/>
              </w:rPr>
              <w:t>Form LTCP-EZ</w:t>
            </w:r>
            <w:r w:rsidRPr="0062464E">
              <w:rPr>
                <w:rFonts w:cs="Arial"/>
                <w:szCs w:val="20"/>
              </w:rPr>
              <w:t>, Lines 6a - 6b)</w:t>
            </w:r>
          </w:p>
          <w:p w:rsidR="0062464E" w:rsidRPr="0062464E" w:rsidRDefault="0062464E" w:rsidP="00205580">
            <w:pPr>
              <w:spacing w:before="40" w:after="60"/>
              <w:rPr>
                <w:rFonts w:cs="Arial"/>
                <w:i/>
                <w:szCs w:val="20"/>
              </w:rPr>
            </w:pPr>
            <w:r w:rsidRPr="0062464E">
              <w:rPr>
                <w:rFonts w:cs="Arial"/>
                <w:i/>
                <w:szCs w:val="20"/>
              </w:rPr>
              <w:t>Maps of impacted sensitive areas downstream of CSOs</w:t>
            </w:r>
          </w:p>
          <w:p w:rsidR="0062464E" w:rsidRPr="0062464E" w:rsidRDefault="0062464E" w:rsidP="00205580">
            <w:pPr>
              <w:spacing w:before="40" w:after="60"/>
              <w:rPr>
                <w:rFonts w:cs="Arial"/>
                <w:i/>
                <w:szCs w:val="20"/>
              </w:rPr>
            </w:pPr>
            <w:r w:rsidRPr="0062464E">
              <w:rPr>
                <w:rFonts w:cs="Arial"/>
                <w:i/>
                <w:szCs w:val="20"/>
              </w:rPr>
              <w:t>Water quality data from sensitive area locations</w:t>
            </w:r>
          </w:p>
        </w:tc>
        <w:tc>
          <w:tcPr>
            <w:tcW w:w="2430" w:type="dxa"/>
          </w:tcPr>
          <w:p w:rsidR="0062464E" w:rsidRPr="0062464E" w:rsidRDefault="0062464E" w:rsidP="00205580">
            <w:pPr>
              <w:spacing w:before="40" w:after="60"/>
              <w:jc w:val="center"/>
              <w:rPr>
                <w:rFonts w:cs="Arial"/>
                <w:szCs w:val="20"/>
              </w:rPr>
            </w:pPr>
            <w:r w:rsidRPr="0062464E">
              <w:rPr>
                <w:rFonts w:cs="Arial"/>
                <w:bCs/>
                <w:szCs w:val="20"/>
              </w:rPr>
              <w:t>Local FWS, NMFS, or State or Tribal Heritage Center</w:t>
            </w:r>
          </w:p>
        </w:tc>
        <w:tc>
          <w:tcPr>
            <w:tcW w:w="5310" w:type="dxa"/>
          </w:tcPr>
          <w:p w:rsidR="0062464E" w:rsidRPr="0062464E" w:rsidRDefault="0062464E" w:rsidP="00205580">
            <w:pPr>
              <w:spacing w:before="40" w:after="60"/>
              <w:rPr>
                <w:rFonts w:cs="Arial"/>
                <w:szCs w:val="20"/>
              </w:rPr>
            </w:pPr>
            <w:r w:rsidRPr="0062464E">
              <w:rPr>
                <w:rFonts w:cs="Arial"/>
                <w:bCs/>
                <w:szCs w:val="20"/>
              </w:rPr>
              <w:t>Threatened or Endangered Species or their habitat at:</w:t>
            </w:r>
          </w:p>
          <w:p w:rsidR="0062464E" w:rsidRPr="0062464E" w:rsidRDefault="00430DFB" w:rsidP="00205580">
            <w:pPr>
              <w:spacing w:before="40" w:after="60"/>
              <w:rPr>
                <w:rFonts w:cs="Arial"/>
                <w:bCs/>
                <w:szCs w:val="20"/>
              </w:rPr>
            </w:pPr>
            <w:hyperlink r:id="rId24" w:history="1">
              <w:r w:rsidR="00036D9C" w:rsidRPr="00520114">
                <w:rPr>
                  <w:rStyle w:val="Hyperlink"/>
                  <w:rFonts w:cs="Arial"/>
                  <w:bCs/>
                  <w:szCs w:val="20"/>
                </w:rPr>
                <w:t>http://ecos.fws.gov/tess_public/StartTESS.do</w:t>
              </w:r>
            </w:hyperlink>
            <w:r w:rsidR="00036D9C">
              <w:rPr>
                <w:rFonts w:cs="Arial"/>
                <w:bCs/>
                <w:szCs w:val="20"/>
              </w:rPr>
              <w:t xml:space="preserve"> </w:t>
            </w:r>
            <w:r w:rsidR="0062464E" w:rsidRPr="0062464E">
              <w:rPr>
                <w:rFonts w:cs="Arial"/>
                <w:bCs/>
                <w:szCs w:val="20"/>
              </w:rPr>
              <w:t xml:space="preserve"> </w:t>
            </w:r>
          </w:p>
          <w:p w:rsidR="0062464E" w:rsidRPr="0062464E" w:rsidRDefault="00430DFB" w:rsidP="00205580">
            <w:pPr>
              <w:spacing w:before="40" w:after="60"/>
              <w:rPr>
                <w:rFonts w:cs="Arial"/>
                <w:szCs w:val="20"/>
              </w:rPr>
            </w:pPr>
            <w:hyperlink r:id="rId25" w:history="1">
              <w:r w:rsidR="0062464E" w:rsidRPr="0062464E">
                <w:rPr>
                  <w:rStyle w:val="Hyperlink"/>
                  <w:rFonts w:cs="Arial"/>
                  <w:szCs w:val="20"/>
                </w:rPr>
                <w:t>http://www.nmfs.noaa.gov/</w:t>
              </w:r>
            </w:hyperlink>
          </w:p>
        </w:tc>
      </w:tr>
      <w:tr w:rsidR="0062464E" w:rsidTr="00820461">
        <w:trPr>
          <w:cantSplit/>
        </w:trPr>
        <w:tc>
          <w:tcPr>
            <w:tcW w:w="6210" w:type="dxa"/>
          </w:tcPr>
          <w:p w:rsidR="0062464E" w:rsidRPr="0062464E" w:rsidRDefault="0062464E" w:rsidP="00205580">
            <w:pPr>
              <w:spacing w:before="40" w:after="60"/>
              <w:rPr>
                <w:rFonts w:cs="Arial"/>
                <w:i/>
                <w:szCs w:val="20"/>
              </w:rPr>
            </w:pPr>
            <w:r w:rsidRPr="0062464E">
              <w:rPr>
                <w:rFonts w:cs="Arial"/>
                <w:szCs w:val="20"/>
              </w:rPr>
              <w:t>Water Quality</w:t>
            </w:r>
            <w:r w:rsidRPr="0062464E">
              <w:rPr>
                <w:rFonts w:cs="Arial"/>
                <w:b/>
                <w:i/>
                <w:szCs w:val="20"/>
              </w:rPr>
              <w:t xml:space="preserve"> </w:t>
            </w:r>
            <w:r w:rsidRPr="0062464E">
              <w:rPr>
                <w:rFonts w:cs="Arial"/>
                <w:szCs w:val="20"/>
              </w:rPr>
              <w:t>(</w:t>
            </w:r>
            <w:r w:rsidRPr="0062464E">
              <w:rPr>
                <w:rFonts w:cs="Arial"/>
                <w:b/>
                <w:szCs w:val="20"/>
              </w:rPr>
              <w:t>Form LTCP-EZ</w:t>
            </w:r>
            <w:r w:rsidRPr="0062464E">
              <w:rPr>
                <w:rFonts w:cs="Arial"/>
                <w:szCs w:val="20"/>
              </w:rPr>
              <w:t>, Lines 6c - 6d; 7)</w:t>
            </w:r>
          </w:p>
          <w:p w:rsidR="0062464E" w:rsidRPr="0062464E" w:rsidRDefault="0062464E" w:rsidP="00205580">
            <w:pPr>
              <w:spacing w:before="40" w:after="60"/>
              <w:rPr>
                <w:rFonts w:cs="Arial"/>
                <w:i/>
                <w:szCs w:val="20"/>
              </w:rPr>
            </w:pPr>
            <w:r w:rsidRPr="0062464E">
              <w:rPr>
                <w:rFonts w:cs="Arial"/>
                <w:i/>
                <w:szCs w:val="20"/>
              </w:rPr>
              <w:t>Pollutants of concern in CSO discharges</w:t>
            </w:r>
          </w:p>
          <w:p w:rsidR="0062464E" w:rsidRPr="0062464E" w:rsidRDefault="0062464E" w:rsidP="00205580">
            <w:pPr>
              <w:spacing w:before="40" w:after="60"/>
              <w:rPr>
                <w:rFonts w:cs="Arial"/>
                <w:i/>
                <w:szCs w:val="20"/>
              </w:rPr>
            </w:pPr>
            <w:r w:rsidRPr="0062464E">
              <w:rPr>
                <w:rFonts w:cs="Arial"/>
                <w:i/>
                <w:szCs w:val="20"/>
              </w:rPr>
              <w:t>Water quality standards in receiving water</w:t>
            </w:r>
          </w:p>
          <w:p w:rsidR="0062464E" w:rsidRPr="0062464E" w:rsidRDefault="0062464E" w:rsidP="00205580">
            <w:pPr>
              <w:spacing w:before="40" w:after="60"/>
              <w:rPr>
                <w:rFonts w:cs="Arial"/>
                <w:i/>
                <w:szCs w:val="20"/>
              </w:rPr>
            </w:pPr>
            <w:r w:rsidRPr="0062464E">
              <w:rPr>
                <w:rFonts w:cs="Arial"/>
                <w:i/>
                <w:szCs w:val="20"/>
              </w:rPr>
              <w:t>Impairments in receiving water(s)</w:t>
            </w:r>
          </w:p>
          <w:p w:rsidR="0062464E" w:rsidRPr="0062464E" w:rsidRDefault="0062464E" w:rsidP="00205580">
            <w:pPr>
              <w:spacing w:before="40" w:after="60"/>
              <w:rPr>
                <w:rFonts w:cs="Arial"/>
                <w:i/>
                <w:szCs w:val="20"/>
              </w:rPr>
            </w:pPr>
            <w:r w:rsidRPr="0062464E">
              <w:rPr>
                <w:rFonts w:cs="Arial"/>
                <w:i/>
                <w:szCs w:val="20"/>
              </w:rPr>
              <w:t>Determination of whether CSO discharges are contributing to impairment of receiving water</w:t>
            </w:r>
          </w:p>
        </w:tc>
        <w:tc>
          <w:tcPr>
            <w:tcW w:w="2430" w:type="dxa"/>
          </w:tcPr>
          <w:p w:rsidR="0062464E" w:rsidRPr="0062464E" w:rsidRDefault="0062464E" w:rsidP="00205580">
            <w:pPr>
              <w:spacing w:before="40" w:after="60"/>
              <w:jc w:val="center"/>
              <w:rPr>
                <w:rFonts w:cs="Arial"/>
                <w:szCs w:val="20"/>
              </w:rPr>
            </w:pPr>
            <w:r w:rsidRPr="0062464E">
              <w:rPr>
                <w:rFonts w:cs="Arial"/>
                <w:szCs w:val="20"/>
              </w:rPr>
              <w:t>NPDES authority or engineering studies</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System Characterization - general location map (</w:t>
            </w:r>
            <w:r w:rsidRPr="0062464E">
              <w:rPr>
                <w:rFonts w:cs="Arial"/>
                <w:b/>
                <w:szCs w:val="20"/>
              </w:rPr>
              <w:t>Form LTCP-EZ</w:t>
            </w:r>
            <w:r w:rsidRPr="0062464E">
              <w:rPr>
                <w:rFonts w:cs="Arial"/>
                <w:szCs w:val="20"/>
              </w:rPr>
              <w:t>, Line 8)</w:t>
            </w:r>
          </w:p>
        </w:tc>
        <w:tc>
          <w:tcPr>
            <w:tcW w:w="2430" w:type="dxa"/>
          </w:tcPr>
          <w:p w:rsidR="0062464E" w:rsidRPr="0062464E" w:rsidRDefault="0062464E" w:rsidP="00205580">
            <w:pPr>
              <w:spacing w:before="40" w:after="60"/>
              <w:jc w:val="center"/>
              <w:rPr>
                <w:rFonts w:cs="Arial"/>
                <w:szCs w:val="20"/>
              </w:rPr>
            </w:pPr>
            <w:r w:rsidRPr="0062464E">
              <w:rPr>
                <w:rFonts w:cs="Arial"/>
                <w:szCs w:val="20"/>
              </w:rPr>
              <w:t>Engineering studies or local utility/government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CSO outfall number (</w:t>
            </w:r>
            <w:r w:rsidRPr="0062464E">
              <w:rPr>
                <w:rFonts w:cs="Arial"/>
                <w:b/>
                <w:szCs w:val="20"/>
              </w:rPr>
              <w:t>Form LTCP-EZ</w:t>
            </w:r>
            <w:r w:rsidRPr="0062464E">
              <w:rPr>
                <w:rFonts w:cs="Arial"/>
                <w:szCs w:val="20"/>
              </w:rPr>
              <w:t>, Line 9a)</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Narrative description (</w:t>
            </w:r>
            <w:r w:rsidRPr="0062464E">
              <w:rPr>
                <w:rFonts w:cs="Arial"/>
                <w:b/>
                <w:szCs w:val="20"/>
              </w:rPr>
              <w:t>Form LTCP-EZ</w:t>
            </w:r>
            <w:r w:rsidRPr="0062464E">
              <w:rPr>
                <w:rFonts w:cs="Arial"/>
                <w:szCs w:val="20"/>
              </w:rPr>
              <w:t>, Line 9b)</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lastRenderedPageBreak/>
              <w:t>Latitude/longitude (</w:t>
            </w:r>
            <w:r w:rsidRPr="0062464E">
              <w:rPr>
                <w:rFonts w:cs="Arial"/>
                <w:b/>
                <w:szCs w:val="20"/>
              </w:rPr>
              <w:t>Form LTCP-EZ</w:t>
            </w:r>
            <w:r w:rsidRPr="0062464E">
              <w:rPr>
                <w:rFonts w:cs="Arial"/>
                <w:szCs w:val="20"/>
              </w:rPr>
              <w:t>, Line 9c)</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Receiving water (</w:t>
            </w:r>
            <w:r w:rsidRPr="0062464E">
              <w:rPr>
                <w:rFonts w:cs="Arial"/>
                <w:b/>
                <w:szCs w:val="20"/>
              </w:rPr>
              <w:t>Form LTCP-EZ</w:t>
            </w:r>
            <w:r w:rsidRPr="0062464E">
              <w:rPr>
                <w:rFonts w:cs="Arial"/>
                <w:szCs w:val="20"/>
              </w:rPr>
              <w:t>, Line 9d)</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Sub-sewershed area (</w:t>
            </w:r>
            <w:r w:rsidRPr="0062464E">
              <w:rPr>
                <w:rFonts w:cs="Arial"/>
                <w:b/>
                <w:szCs w:val="20"/>
              </w:rPr>
              <w:t>Form LTCP-EZ</w:t>
            </w:r>
            <w:r w:rsidRPr="0062464E">
              <w:rPr>
                <w:rFonts w:cs="Arial"/>
                <w:szCs w:val="20"/>
              </w:rPr>
              <w:t>, Lines 10a)</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r w:rsidRPr="0062464E">
              <w:rPr>
                <w:rFonts w:cs="Arial"/>
                <w:szCs w:val="20"/>
              </w:rPr>
              <w:t>This item is also used in Schedule 4 (CSO Volume)</w:t>
            </w: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Sub-sewershed principal land use (</w:t>
            </w:r>
            <w:r w:rsidRPr="0062464E">
              <w:rPr>
                <w:rFonts w:cs="Arial"/>
                <w:b/>
                <w:szCs w:val="20"/>
              </w:rPr>
              <w:t>Form LTCP-EZ</w:t>
            </w:r>
            <w:r w:rsidRPr="0062464E">
              <w:rPr>
                <w:rFonts w:cs="Arial"/>
                <w:szCs w:val="20"/>
              </w:rPr>
              <w:t>, Lines 10b)</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r w:rsidRPr="0062464E">
              <w:rPr>
                <w:rFonts w:cs="Arial"/>
                <w:szCs w:val="20"/>
              </w:rPr>
              <w:t>This item is also used in Schedule 4 (CSO Volume)</w:t>
            </w: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Type of CSO hydraulic control structure (e.g., weir or diversion) (</w:t>
            </w:r>
            <w:r w:rsidRPr="0062464E">
              <w:rPr>
                <w:rFonts w:cs="Arial"/>
                <w:b/>
                <w:szCs w:val="20"/>
              </w:rPr>
              <w:t>Form LTCP-EZ</w:t>
            </w:r>
            <w:r w:rsidRPr="0062464E">
              <w:rPr>
                <w:rFonts w:cs="Arial"/>
                <w:szCs w:val="20"/>
              </w:rPr>
              <w:t>, Line 11a)</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CSO hydraulic control capacity (</w:t>
            </w:r>
            <w:r w:rsidRPr="0062464E">
              <w:rPr>
                <w:rFonts w:cs="Arial"/>
                <w:b/>
                <w:szCs w:val="20"/>
              </w:rPr>
              <w:t>Form LTCP-EZ</w:t>
            </w:r>
            <w:r w:rsidRPr="0062464E">
              <w:rPr>
                <w:rFonts w:cs="Arial"/>
                <w:szCs w:val="20"/>
              </w:rPr>
              <w:t>, Line 11b)</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Default="0062464E" w:rsidP="00205580">
            <w:pPr>
              <w:pStyle w:val="bullet"/>
              <w:numPr>
                <w:ilvl w:val="0"/>
                <w:numId w:val="0"/>
              </w:numPr>
              <w:spacing w:before="40" w:after="60"/>
              <w:ind w:left="86"/>
            </w:pPr>
            <w:r w:rsidRPr="00FF543A">
              <w:t xml:space="preserve">This item </w:t>
            </w:r>
            <w:r>
              <w:t xml:space="preserve">is also used in </w:t>
            </w:r>
            <w:r w:rsidRPr="00FF543A">
              <w:t>Schedule 4 (CSO Volume</w:t>
            </w:r>
            <w:r>
              <w:t>)</w:t>
            </w:r>
            <w:r w:rsidRPr="00FF543A">
              <w:t xml:space="preserve"> and Schedule 5A (CSO Runoff Control)</w:t>
            </w: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Name of downstream interceptor or pipe receiving diversion (</w:t>
            </w:r>
            <w:r w:rsidRPr="0062464E">
              <w:rPr>
                <w:rFonts w:cs="Arial"/>
                <w:b/>
                <w:szCs w:val="20"/>
              </w:rPr>
              <w:t>Form LTCP-EZ</w:t>
            </w:r>
            <w:r w:rsidRPr="0062464E">
              <w:rPr>
                <w:rFonts w:cs="Arial"/>
                <w:szCs w:val="20"/>
              </w:rPr>
              <w:t>, Line 11c)</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Public Participation (</w:t>
            </w:r>
            <w:r w:rsidRPr="0062464E">
              <w:rPr>
                <w:rFonts w:cs="Arial"/>
                <w:b/>
                <w:szCs w:val="20"/>
              </w:rPr>
              <w:t>Form LTCP-EZ</w:t>
            </w:r>
            <w:r w:rsidRPr="0062464E">
              <w:rPr>
                <w:rFonts w:cs="Arial"/>
                <w:szCs w:val="20"/>
              </w:rPr>
              <w:t>, Line 12)</w:t>
            </w:r>
          </w:p>
        </w:tc>
        <w:tc>
          <w:tcPr>
            <w:tcW w:w="2430" w:type="dxa"/>
          </w:tcPr>
          <w:p w:rsidR="0062464E" w:rsidRPr="0062464E" w:rsidRDefault="0062464E" w:rsidP="00205580">
            <w:pPr>
              <w:spacing w:before="40" w:after="60"/>
              <w:jc w:val="center"/>
              <w:rPr>
                <w:rFonts w:cs="Arial"/>
                <w:szCs w:val="20"/>
              </w:rPr>
            </w:pPr>
            <w:r w:rsidRPr="0062464E">
              <w:rPr>
                <w:rFonts w:cs="Arial"/>
                <w:szCs w:val="20"/>
              </w:rPr>
              <w:t>Local utility/government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Information on CSO controls planned for installation (</w:t>
            </w:r>
            <w:r w:rsidRPr="0062464E">
              <w:rPr>
                <w:rFonts w:cs="Arial"/>
                <w:b/>
                <w:szCs w:val="20"/>
              </w:rPr>
              <w:t>Form LTCP-EZ</w:t>
            </w:r>
            <w:r w:rsidRPr="0062464E">
              <w:rPr>
                <w:rFonts w:cs="Arial"/>
                <w:szCs w:val="20"/>
              </w:rPr>
              <w:t>, Lines 16a - 16d)</w:t>
            </w:r>
          </w:p>
          <w:p w:rsidR="0062464E" w:rsidRPr="0062464E" w:rsidRDefault="0062464E" w:rsidP="00205580">
            <w:pPr>
              <w:pStyle w:val="ListParagraph"/>
              <w:numPr>
                <w:ilvl w:val="0"/>
                <w:numId w:val="37"/>
              </w:numPr>
              <w:spacing w:before="40" w:after="60"/>
              <w:rPr>
                <w:rFonts w:cs="Arial"/>
                <w:szCs w:val="20"/>
              </w:rPr>
            </w:pPr>
            <w:r w:rsidRPr="0062464E">
              <w:rPr>
                <w:rFonts w:cs="Arial"/>
                <w:szCs w:val="20"/>
              </w:rPr>
              <w:t>Number and type</w:t>
            </w:r>
          </w:p>
          <w:p w:rsidR="0062464E" w:rsidRPr="0062464E" w:rsidRDefault="0062464E" w:rsidP="00205580">
            <w:pPr>
              <w:pStyle w:val="ListParagraph"/>
              <w:numPr>
                <w:ilvl w:val="0"/>
                <w:numId w:val="37"/>
              </w:numPr>
              <w:spacing w:before="40" w:after="60"/>
              <w:rPr>
                <w:rFonts w:cs="Arial"/>
                <w:szCs w:val="20"/>
              </w:rPr>
            </w:pPr>
            <w:r w:rsidRPr="0062464E">
              <w:rPr>
                <w:rFonts w:cs="Arial"/>
                <w:szCs w:val="20"/>
              </w:rPr>
              <w:t>Financing plan</w:t>
            </w:r>
          </w:p>
          <w:p w:rsidR="0062464E" w:rsidRPr="0062464E" w:rsidRDefault="0062464E" w:rsidP="00205580">
            <w:pPr>
              <w:pStyle w:val="ListParagraph"/>
              <w:numPr>
                <w:ilvl w:val="0"/>
                <w:numId w:val="37"/>
              </w:numPr>
              <w:spacing w:before="40" w:after="60"/>
              <w:rPr>
                <w:rFonts w:cs="Arial"/>
                <w:szCs w:val="20"/>
              </w:rPr>
            </w:pPr>
            <w:r w:rsidRPr="0062464E">
              <w:rPr>
                <w:rFonts w:cs="Arial"/>
                <w:szCs w:val="20"/>
              </w:rPr>
              <w:t>Proposed installation schedule</w:t>
            </w:r>
          </w:p>
        </w:tc>
        <w:tc>
          <w:tcPr>
            <w:tcW w:w="2430" w:type="dxa"/>
          </w:tcPr>
          <w:p w:rsidR="0062464E" w:rsidRPr="0062464E" w:rsidRDefault="0062464E" w:rsidP="00205580">
            <w:pPr>
              <w:spacing w:before="40" w:after="60"/>
              <w:jc w:val="center"/>
              <w:rPr>
                <w:rFonts w:cs="Arial"/>
                <w:szCs w:val="20"/>
              </w:rPr>
            </w:pPr>
            <w:r w:rsidRPr="0062464E">
              <w:rPr>
                <w:rFonts w:cs="Arial"/>
                <w:szCs w:val="20"/>
              </w:rPr>
              <w:t>Engineering studies or local utility/government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Unit costs of unit processes or CSO controls</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b/>
                <w:szCs w:val="20"/>
              </w:rPr>
            </w:pPr>
            <w:r w:rsidRPr="0062464E">
              <w:rPr>
                <w:rFonts w:cs="Arial"/>
                <w:b/>
                <w:szCs w:val="20"/>
              </w:rPr>
              <w:t>Schedule 4 Information</w:t>
            </w:r>
          </w:p>
        </w:tc>
        <w:tc>
          <w:tcPr>
            <w:tcW w:w="2430" w:type="dxa"/>
          </w:tcPr>
          <w:p w:rsidR="0062464E" w:rsidRPr="0062464E" w:rsidRDefault="0062464E" w:rsidP="00205580">
            <w:pPr>
              <w:spacing w:before="40" w:after="60"/>
              <w:jc w:val="center"/>
              <w:rPr>
                <w:rFonts w:cs="Arial"/>
                <w:szCs w:val="20"/>
              </w:rPr>
            </w:pP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i/>
                <w:szCs w:val="20"/>
              </w:rPr>
              <w:t>Sub-sewershed delineations for individual CSO outfalls</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i/>
                <w:szCs w:val="20"/>
              </w:rPr>
              <w:t>Capacities of hydraulic control structures, interceptors, and wastewater treatment processes</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i/>
                <w:szCs w:val="20"/>
              </w:rPr>
              <w:t>Peak rate of sewage from non-CSO areas (</w:t>
            </w:r>
            <w:r w:rsidRPr="0062464E">
              <w:rPr>
                <w:rFonts w:cs="Arial"/>
                <w:b/>
                <w:i/>
                <w:szCs w:val="20"/>
              </w:rPr>
              <w:t>Schedule 4 - CSO Volume</w:t>
            </w:r>
            <w:r w:rsidRPr="0062464E">
              <w:rPr>
                <w:rFonts w:cs="Arial"/>
                <w:i/>
                <w:szCs w:val="20"/>
              </w:rPr>
              <w:t>, Line 22)</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i/>
                <w:szCs w:val="20"/>
              </w:rPr>
              <w:t>Peak rate of sewage from satellite communities (</w:t>
            </w:r>
            <w:r w:rsidRPr="0062464E">
              <w:rPr>
                <w:rFonts w:cs="Arial"/>
                <w:b/>
                <w:i/>
                <w:szCs w:val="20"/>
              </w:rPr>
              <w:t>Schedule 4 - CSO Volume</w:t>
            </w:r>
            <w:r w:rsidRPr="0062464E">
              <w:rPr>
                <w:rFonts w:cs="Arial"/>
                <w:i/>
                <w:szCs w:val="20"/>
              </w:rPr>
              <w:t>, Line 23)</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i/>
                <w:szCs w:val="20"/>
              </w:rPr>
              <w:t>Number of households in service area</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i/>
                <w:szCs w:val="20"/>
              </w:rPr>
              <w:t>Satellite areas (</w:t>
            </w:r>
            <w:r w:rsidRPr="0062464E">
              <w:rPr>
                <w:rFonts w:cs="Arial"/>
                <w:b/>
                <w:i/>
                <w:szCs w:val="20"/>
              </w:rPr>
              <w:t>Schedule 4 - CSO Volume</w:t>
            </w:r>
            <w:r w:rsidRPr="0062464E">
              <w:rPr>
                <w:rFonts w:cs="Arial"/>
                <w:i/>
                <w:szCs w:val="20"/>
              </w:rPr>
              <w:t>, Line 31)</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lastRenderedPageBreak/>
              <w:t>Information on how the CSS responds to rainfall</w:t>
            </w:r>
          </w:p>
          <w:p w:rsidR="0062464E" w:rsidRPr="0062464E" w:rsidRDefault="0062464E" w:rsidP="00205580">
            <w:pPr>
              <w:spacing w:before="40" w:after="60"/>
              <w:rPr>
                <w:rFonts w:cs="Arial"/>
                <w:i/>
                <w:szCs w:val="20"/>
              </w:rPr>
            </w:pPr>
            <w:r w:rsidRPr="0062464E">
              <w:rPr>
                <w:rFonts w:cs="Arial"/>
                <w:i/>
                <w:szCs w:val="20"/>
              </w:rPr>
              <w:t>Modeling data</w:t>
            </w:r>
          </w:p>
          <w:p w:rsidR="0062464E" w:rsidRPr="0062464E" w:rsidRDefault="0062464E" w:rsidP="00205580">
            <w:pPr>
              <w:spacing w:before="40" w:after="60"/>
              <w:rPr>
                <w:rFonts w:cs="Arial"/>
                <w:i/>
                <w:szCs w:val="20"/>
              </w:rPr>
            </w:pPr>
            <w:r w:rsidRPr="0062464E">
              <w:rPr>
                <w:rFonts w:cs="Arial"/>
                <w:i/>
                <w:szCs w:val="20"/>
              </w:rPr>
              <w:t>Monitoring data</w:t>
            </w:r>
          </w:p>
          <w:p w:rsidR="0062464E" w:rsidRPr="0062464E" w:rsidRDefault="0062464E" w:rsidP="00205580">
            <w:pPr>
              <w:spacing w:before="40" w:after="60"/>
              <w:rPr>
                <w:rFonts w:cs="Arial"/>
                <w:szCs w:val="20"/>
              </w:rPr>
            </w:pPr>
            <w:r w:rsidRPr="0062464E">
              <w:rPr>
                <w:rFonts w:cs="Arial"/>
                <w:i/>
                <w:szCs w:val="20"/>
              </w:rPr>
              <w:t>Pump station records</w:t>
            </w:r>
          </w:p>
        </w:tc>
        <w:tc>
          <w:tcPr>
            <w:tcW w:w="2430" w:type="dxa"/>
          </w:tcPr>
          <w:p w:rsidR="0062464E" w:rsidRPr="0062464E" w:rsidRDefault="0062464E" w:rsidP="00205580">
            <w:pPr>
              <w:spacing w:before="40" w:after="60"/>
              <w:jc w:val="center"/>
              <w:rPr>
                <w:rFonts w:cs="Arial"/>
                <w:szCs w:val="20"/>
              </w:rPr>
            </w:pPr>
            <w:r w:rsidRPr="0062464E">
              <w:rPr>
                <w:rFonts w:cs="Arial"/>
                <w:szCs w:val="20"/>
              </w:rPr>
              <w:t>Engineering studies or local government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 xml:space="preserve">Data required for </w:t>
            </w:r>
            <w:r w:rsidRPr="0062464E">
              <w:rPr>
                <w:rFonts w:cs="Arial"/>
                <w:b/>
                <w:szCs w:val="20"/>
              </w:rPr>
              <w:t>Schedule 5A – CSO Control, Green Infrastructure Runoff Controls</w:t>
            </w:r>
            <w:r w:rsidRPr="0062464E">
              <w:rPr>
                <w:rFonts w:cs="Arial"/>
                <w:szCs w:val="20"/>
              </w:rPr>
              <w:t>)</w:t>
            </w:r>
          </w:p>
        </w:tc>
        <w:tc>
          <w:tcPr>
            <w:tcW w:w="2430" w:type="dxa"/>
          </w:tcPr>
          <w:p w:rsidR="0062464E" w:rsidRPr="0062464E" w:rsidRDefault="0062464E" w:rsidP="00205580">
            <w:pPr>
              <w:spacing w:before="40" w:after="60"/>
              <w:rPr>
                <w:rFonts w:cs="Arial"/>
                <w:szCs w:val="20"/>
              </w:rPr>
            </w:pP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Percent impervious area by sewershed</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Retention standard or goal</w:t>
            </w:r>
          </w:p>
          <w:p w:rsidR="0062464E" w:rsidRPr="0062464E" w:rsidRDefault="0062464E" w:rsidP="00205580">
            <w:pPr>
              <w:pStyle w:val="ListParagraph"/>
              <w:spacing w:before="40" w:after="60"/>
              <w:rPr>
                <w:rFonts w:cs="Arial"/>
                <w:szCs w:val="20"/>
              </w:rPr>
            </w:pPr>
          </w:p>
        </w:tc>
        <w:tc>
          <w:tcPr>
            <w:tcW w:w="2430" w:type="dxa"/>
          </w:tcPr>
          <w:p w:rsidR="0062464E" w:rsidRPr="0062464E" w:rsidRDefault="0062464E" w:rsidP="00205580">
            <w:pPr>
              <w:spacing w:before="40" w:after="60"/>
              <w:jc w:val="center"/>
              <w:rPr>
                <w:rFonts w:cs="Arial"/>
                <w:szCs w:val="20"/>
              </w:rPr>
            </w:pPr>
            <w:r w:rsidRPr="0062464E">
              <w:rPr>
                <w:rFonts w:cs="Arial"/>
                <w:szCs w:val="20"/>
              </w:rPr>
              <w:t>NPDES authority or local government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Percent of area to be redeveloped over planning horizon</w:t>
            </w:r>
          </w:p>
        </w:tc>
        <w:tc>
          <w:tcPr>
            <w:tcW w:w="2430" w:type="dxa"/>
          </w:tcPr>
          <w:p w:rsidR="0062464E" w:rsidRPr="0062464E" w:rsidRDefault="0062464E" w:rsidP="00205580">
            <w:pPr>
              <w:spacing w:before="40" w:after="60"/>
              <w:jc w:val="center"/>
              <w:rPr>
                <w:rFonts w:cs="Arial"/>
                <w:szCs w:val="20"/>
              </w:rPr>
            </w:pPr>
            <w:r w:rsidRPr="0062464E">
              <w:rPr>
                <w:rFonts w:cs="Arial"/>
                <w:szCs w:val="20"/>
              </w:rPr>
              <w:t>Local government; specific plan</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Quantity of green infrastructure to be implemented</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737BA" w:rsidRDefault="0062464E" w:rsidP="00205580">
            <w:pPr>
              <w:pStyle w:val="ListParagraph"/>
              <w:numPr>
                <w:ilvl w:val="0"/>
                <w:numId w:val="38"/>
              </w:numPr>
              <w:spacing w:before="40" w:after="60"/>
              <w:rPr>
                <w:rFonts w:cs="Arial"/>
                <w:szCs w:val="20"/>
              </w:rPr>
            </w:pPr>
            <w:r w:rsidRPr="006737BA">
              <w:rPr>
                <w:rFonts w:cs="Arial"/>
                <w:szCs w:val="20"/>
              </w:rPr>
              <w:t>Green roofs – number of installations and average area</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737BA" w:rsidRDefault="0062464E" w:rsidP="00205580">
            <w:pPr>
              <w:pStyle w:val="ListParagraph"/>
              <w:numPr>
                <w:ilvl w:val="0"/>
                <w:numId w:val="38"/>
              </w:numPr>
              <w:spacing w:before="40" w:after="60"/>
              <w:rPr>
                <w:rFonts w:cs="Arial"/>
                <w:szCs w:val="20"/>
              </w:rPr>
            </w:pPr>
            <w:r w:rsidRPr="006737BA">
              <w:rPr>
                <w:rFonts w:cs="Arial"/>
                <w:szCs w:val="20"/>
              </w:rPr>
              <w:t>Bioretention – number of installations and average area managed by an installation</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737BA" w:rsidRDefault="0062464E" w:rsidP="00205580">
            <w:pPr>
              <w:pStyle w:val="ListParagraph"/>
              <w:numPr>
                <w:ilvl w:val="0"/>
                <w:numId w:val="38"/>
              </w:numPr>
              <w:spacing w:before="40" w:after="60"/>
              <w:rPr>
                <w:rFonts w:cs="Arial"/>
                <w:szCs w:val="20"/>
              </w:rPr>
            </w:pPr>
            <w:r w:rsidRPr="006737BA">
              <w:rPr>
                <w:rFonts w:cs="Arial"/>
                <w:szCs w:val="20"/>
              </w:rPr>
              <w:t>Vegetated swales – acreage/area of installations and average area managed by an installation</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737BA" w:rsidRDefault="0062464E" w:rsidP="00205580">
            <w:pPr>
              <w:pStyle w:val="ListParagraph"/>
              <w:numPr>
                <w:ilvl w:val="0"/>
                <w:numId w:val="38"/>
              </w:numPr>
              <w:spacing w:before="40" w:after="60"/>
              <w:rPr>
                <w:rFonts w:cs="Arial"/>
                <w:szCs w:val="20"/>
              </w:rPr>
            </w:pPr>
            <w:r w:rsidRPr="006737BA">
              <w:rPr>
                <w:rFonts w:cs="Arial"/>
                <w:szCs w:val="20"/>
              </w:rPr>
              <w:t>Permeable pavement – area to be installed</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737BA" w:rsidRDefault="0062464E" w:rsidP="00205580">
            <w:pPr>
              <w:pStyle w:val="ListParagraph"/>
              <w:numPr>
                <w:ilvl w:val="0"/>
                <w:numId w:val="38"/>
              </w:numPr>
              <w:spacing w:before="40" w:after="60"/>
              <w:rPr>
                <w:rFonts w:cs="Arial"/>
                <w:szCs w:val="20"/>
              </w:rPr>
            </w:pPr>
            <w:r w:rsidRPr="006737BA">
              <w:rPr>
                <w:rFonts w:cs="Arial"/>
                <w:szCs w:val="20"/>
              </w:rPr>
              <w:t>Rain barrels/cisterns - number of installations and average volume of the barrel/cistern</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Local green infrastructure unit costs</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Percentage of installations that will be financed by the public</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Financial Capability Information</w:t>
            </w:r>
          </w:p>
          <w:p w:rsidR="0062464E" w:rsidRPr="0062464E" w:rsidRDefault="0062464E" w:rsidP="00205580">
            <w:pPr>
              <w:spacing w:before="40" w:after="60"/>
              <w:rPr>
                <w:rFonts w:cs="Arial"/>
                <w:szCs w:val="20"/>
              </w:rPr>
            </w:pPr>
            <w:r w:rsidRPr="0062464E">
              <w:rPr>
                <w:rFonts w:cs="Arial"/>
                <w:szCs w:val="20"/>
              </w:rPr>
              <w:t xml:space="preserve">(Data required for </w:t>
            </w:r>
            <w:r w:rsidRPr="0062464E">
              <w:rPr>
                <w:rFonts w:cs="Arial"/>
                <w:b/>
                <w:szCs w:val="20"/>
              </w:rPr>
              <w:t>Schedule 6 – CSO Capability</w:t>
            </w:r>
            <w:r w:rsidRPr="0062464E">
              <w:rPr>
                <w:rFonts w:cs="Arial"/>
                <w:szCs w:val="20"/>
              </w:rPr>
              <w:t>)</w:t>
            </w:r>
          </w:p>
        </w:tc>
        <w:tc>
          <w:tcPr>
            <w:tcW w:w="2430" w:type="dxa"/>
          </w:tcPr>
          <w:p w:rsidR="0062464E" w:rsidRPr="0062464E" w:rsidRDefault="0062464E" w:rsidP="00205580">
            <w:pPr>
              <w:spacing w:before="40" w:after="60"/>
              <w:jc w:val="center"/>
              <w:rPr>
                <w:rFonts w:cs="Arial"/>
                <w:szCs w:val="20"/>
              </w:rPr>
            </w:pP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Annual budgeted O&amp;M expenses (excluding depreciation) of wastewater operations</w:t>
            </w:r>
          </w:p>
        </w:tc>
        <w:tc>
          <w:tcPr>
            <w:tcW w:w="2430" w:type="dxa"/>
          </w:tcPr>
          <w:p w:rsidR="0062464E" w:rsidRPr="0062464E" w:rsidRDefault="0062464E" w:rsidP="00205580">
            <w:pPr>
              <w:spacing w:before="40" w:after="60"/>
              <w:jc w:val="center"/>
              <w:rPr>
                <w:rFonts w:cs="Arial"/>
                <w:szCs w:val="20"/>
              </w:rPr>
            </w:pPr>
            <w:r w:rsidRPr="0062464E">
              <w:rPr>
                <w:rFonts w:cs="Arial"/>
                <w:szCs w:val="20"/>
              </w:rPr>
              <w:t>Local utility/government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Annual debt service on wastewater treatment debts</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Projected annual O&amp;M expenses for new wastewater projects</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lastRenderedPageBreak/>
              <w:t>Projected debt costs of new wastewater projects</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Median household income for the service area*</w:t>
            </w:r>
          </w:p>
        </w:tc>
        <w:tc>
          <w:tcPr>
            <w:tcW w:w="2430" w:type="dxa"/>
          </w:tcPr>
          <w:p w:rsidR="0062464E" w:rsidRPr="0062464E" w:rsidRDefault="0062464E" w:rsidP="00205580">
            <w:pPr>
              <w:spacing w:before="40" w:after="60"/>
              <w:jc w:val="center"/>
              <w:rPr>
                <w:rFonts w:cs="Arial"/>
                <w:szCs w:val="20"/>
              </w:rPr>
            </w:pPr>
            <w:r w:rsidRPr="0062464E">
              <w:rPr>
                <w:rFonts w:cs="Arial"/>
                <w:szCs w:val="20"/>
              </w:rPr>
              <w:t>US Census Bureau and local utility/government</w:t>
            </w:r>
          </w:p>
        </w:tc>
        <w:tc>
          <w:tcPr>
            <w:tcW w:w="5310" w:type="dxa"/>
          </w:tcPr>
          <w:p w:rsidR="0062464E" w:rsidRPr="0062464E" w:rsidRDefault="00430DFB" w:rsidP="00205580">
            <w:pPr>
              <w:spacing w:before="40" w:after="60"/>
              <w:rPr>
                <w:rFonts w:cs="Arial"/>
                <w:szCs w:val="20"/>
              </w:rPr>
            </w:pPr>
            <w:hyperlink r:id="rId26" w:history="1">
              <w:r w:rsidR="0062464E" w:rsidRPr="0062464E">
                <w:rPr>
                  <w:rStyle w:val="Hyperlink"/>
                  <w:rFonts w:cs="Arial"/>
                  <w:szCs w:val="20"/>
                </w:rPr>
                <w:t>http://quickfacts.census.gov/qfd/index.html</w:t>
              </w:r>
            </w:hyperlink>
            <w:r w:rsidR="0062464E" w:rsidRPr="0062464E">
              <w:rPr>
                <w:rFonts w:cs="Arial"/>
                <w:szCs w:val="20"/>
              </w:rPr>
              <w:t xml:space="preserve"> </w:t>
            </w:r>
          </w:p>
          <w:p w:rsidR="0062464E" w:rsidRPr="0062464E" w:rsidRDefault="00430DFB" w:rsidP="00205580">
            <w:pPr>
              <w:spacing w:before="40" w:after="60"/>
              <w:rPr>
                <w:rFonts w:cs="Arial"/>
                <w:szCs w:val="20"/>
              </w:rPr>
            </w:pPr>
            <w:hyperlink r:id="rId27" w:history="1">
              <w:r w:rsidR="00036D9C" w:rsidRPr="00520114">
                <w:rPr>
                  <w:rStyle w:val="Hyperlink"/>
                  <w:rFonts w:cs="Arial"/>
                  <w:szCs w:val="20"/>
                </w:rPr>
                <w:t>http://www.census.gov/</w:t>
              </w:r>
            </w:hyperlink>
            <w:r w:rsidR="00036D9C">
              <w:rPr>
                <w:rFonts w:cs="Arial"/>
                <w:szCs w:val="20"/>
              </w:rPr>
              <w:t xml:space="preserve"> </w:t>
            </w: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bCs/>
                <w:szCs w:val="20"/>
              </w:rPr>
              <w:t>National median household income</w:t>
            </w:r>
          </w:p>
        </w:tc>
        <w:tc>
          <w:tcPr>
            <w:tcW w:w="2430" w:type="dxa"/>
          </w:tcPr>
          <w:p w:rsidR="0062464E" w:rsidRPr="0062464E" w:rsidRDefault="0062464E" w:rsidP="00205580">
            <w:pPr>
              <w:spacing w:before="40" w:after="60"/>
              <w:jc w:val="center"/>
              <w:rPr>
                <w:rFonts w:cs="Arial"/>
                <w:szCs w:val="20"/>
              </w:rPr>
            </w:pPr>
            <w:r w:rsidRPr="0062464E">
              <w:rPr>
                <w:rFonts w:cs="Arial"/>
                <w:szCs w:val="20"/>
              </w:rPr>
              <w:t>US Census Bureau</w:t>
            </w:r>
          </w:p>
        </w:tc>
        <w:tc>
          <w:tcPr>
            <w:tcW w:w="5310" w:type="dxa"/>
          </w:tcPr>
          <w:p w:rsidR="0062464E" w:rsidRPr="0062464E" w:rsidRDefault="00430DFB" w:rsidP="00205580">
            <w:pPr>
              <w:spacing w:before="40" w:after="60"/>
              <w:rPr>
                <w:rFonts w:cs="Arial"/>
                <w:szCs w:val="20"/>
              </w:rPr>
            </w:pPr>
            <w:hyperlink r:id="rId28" w:history="1">
              <w:r w:rsidR="0062464E" w:rsidRPr="0062464E">
                <w:rPr>
                  <w:rStyle w:val="Hyperlink"/>
                  <w:rFonts w:cs="Arial"/>
                  <w:szCs w:val="20"/>
                </w:rPr>
                <w:t>http://quickfacts.census.gov/qfd/states/00000.html</w:t>
              </w:r>
            </w:hyperlink>
            <w:r w:rsidR="0062464E" w:rsidRPr="0062464E">
              <w:rPr>
                <w:rFonts w:cs="Arial"/>
                <w:szCs w:val="20"/>
              </w:rPr>
              <w:t xml:space="preserve"> </w:t>
            </w: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Date of most recent general obligation (GO) bond, bond rating, indication of whether insurance was required on the bond, and name of credit agency</w:t>
            </w:r>
          </w:p>
        </w:tc>
        <w:tc>
          <w:tcPr>
            <w:tcW w:w="2430" w:type="dxa"/>
          </w:tcPr>
          <w:p w:rsidR="0062464E" w:rsidRPr="0062464E" w:rsidRDefault="0062464E" w:rsidP="00205580">
            <w:pPr>
              <w:spacing w:before="40" w:after="60"/>
              <w:jc w:val="center"/>
              <w:rPr>
                <w:rFonts w:cs="Arial"/>
                <w:szCs w:val="20"/>
              </w:rPr>
            </w:pPr>
            <w:r w:rsidRPr="0062464E">
              <w:rPr>
                <w:rFonts w:cs="Arial"/>
                <w:szCs w:val="20"/>
              </w:rPr>
              <w:t>Local utility/government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Direct net debt (GO bonds excluding double-barreled bonds - GO debt outstanding that is supported by the property in the permittee's service area)</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bCs/>
                <w:szCs w:val="20"/>
              </w:rPr>
              <w:t>Debt of overlapping entities (proportionate share of multi-jurisdictional debt)</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bCs/>
                <w:szCs w:val="20"/>
              </w:rPr>
              <w:t>Full market property value (MPV)</w:t>
            </w:r>
          </w:p>
        </w:tc>
        <w:tc>
          <w:tcPr>
            <w:tcW w:w="2430" w:type="dxa"/>
          </w:tcPr>
          <w:p w:rsidR="0062464E" w:rsidRPr="0062464E" w:rsidRDefault="0062464E" w:rsidP="00205580">
            <w:pPr>
              <w:spacing w:before="40" w:after="60"/>
              <w:jc w:val="center"/>
              <w:rPr>
                <w:rFonts w:cs="Arial"/>
                <w:szCs w:val="20"/>
              </w:rPr>
            </w:pPr>
            <w:r w:rsidRPr="0062464E">
              <w:rPr>
                <w:rFonts w:cs="Arial"/>
                <w:szCs w:val="20"/>
              </w:rPr>
              <w:t>Local government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bCs/>
                <w:szCs w:val="20"/>
              </w:rPr>
              <w:t>Unemployment rate for permittee’s service area</w:t>
            </w:r>
          </w:p>
        </w:tc>
        <w:tc>
          <w:tcPr>
            <w:tcW w:w="2430" w:type="dxa"/>
          </w:tcPr>
          <w:p w:rsidR="0062464E" w:rsidRPr="0062464E" w:rsidRDefault="0062464E" w:rsidP="00205580">
            <w:pPr>
              <w:spacing w:before="40" w:after="60"/>
              <w:jc w:val="center"/>
              <w:rPr>
                <w:rFonts w:cs="Arial"/>
                <w:szCs w:val="20"/>
              </w:rPr>
            </w:pPr>
            <w:r w:rsidRPr="0062464E">
              <w:rPr>
                <w:rFonts w:cs="Arial"/>
                <w:szCs w:val="20"/>
              </w:rPr>
              <w:t>US Dept. of Labor Statistics and local utility/government</w:t>
            </w:r>
          </w:p>
        </w:tc>
        <w:tc>
          <w:tcPr>
            <w:tcW w:w="5310" w:type="dxa"/>
          </w:tcPr>
          <w:p w:rsidR="0062464E" w:rsidRPr="0062464E" w:rsidRDefault="00430DFB" w:rsidP="00205580">
            <w:pPr>
              <w:spacing w:before="40" w:after="60"/>
              <w:rPr>
                <w:rFonts w:cs="Arial"/>
                <w:szCs w:val="20"/>
              </w:rPr>
            </w:pPr>
            <w:hyperlink r:id="rId29" w:history="1">
              <w:r w:rsidR="0062464E" w:rsidRPr="0062464E">
                <w:rPr>
                  <w:rStyle w:val="Hyperlink"/>
                  <w:rFonts w:cs="Arial"/>
                  <w:szCs w:val="20"/>
                </w:rPr>
                <w:t>http://data.bls.gov/pdq/querytool.jsp?survey=la</w:t>
              </w:r>
            </w:hyperlink>
          </w:p>
        </w:tc>
      </w:tr>
      <w:tr w:rsidR="0062464E" w:rsidTr="00820461">
        <w:trPr>
          <w:cantSplit/>
        </w:trPr>
        <w:tc>
          <w:tcPr>
            <w:tcW w:w="6210" w:type="dxa"/>
          </w:tcPr>
          <w:p w:rsidR="0062464E" w:rsidRPr="0062464E" w:rsidRDefault="0062464E" w:rsidP="00205580">
            <w:pPr>
              <w:spacing w:before="40" w:after="60"/>
              <w:rPr>
                <w:rFonts w:cs="Arial"/>
                <w:bCs/>
                <w:szCs w:val="20"/>
              </w:rPr>
            </w:pPr>
            <w:r w:rsidRPr="0062464E">
              <w:rPr>
                <w:rFonts w:cs="Arial"/>
                <w:bCs/>
                <w:szCs w:val="20"/>
              </w:rPr>
              <w:t>Unemployment rate for permittee’s county**</w:t>
            </w:r>
          </w:p>
        </w:tc>
        <w:tc>
          <w:tcPr>
            <w:tcW w:w="2430" w:type="dxa"/>
          </w:tcPr>
          <w:p w:rsidR="0062464E" w:rsidRPr="0062464E" w:rsidRDefault="0062464E" w:rsidP="00205580">
            <w:pPr>
              <w:spacing w:before="40" w:after="60"/>
              <w:jc w:val="center"/>
              <w:rPr>
                <w:rFonts w:cs="Arial"/>
                <w:szCs w:val="20"/>
              </w:rPr>
            </w:pPr>
            <w:r w:rsidRPr="0062464E">
              <w:rPr>
                <w:rFonts w:cs="Arial"/>
                <w:szCs w:val="20"/>
              </w:rPr>
              <w:t>US Dept. of Labor Statistics</w:t>
            </w:r>
          </w:p>
        </w:tc>
        <w:tc>
          <w:tcPr>
            <w:tcW w:w="5310" w:type="dxa"/>
          </w:tcPr>
          <w:p w:rsidR="0062464E" w:rsidRPr="0062464E" w:rsidRDefault="00430DFB" w:rsidP="00205580">
            <w:pPr>
              <w:spacing w:before="40" w:after="60"/>
              <w:rPr>
                <w:rFonts w:cs="Arial"/>
                <w:szCs w:val="20"/>
              </w:rPr>
            </w:pPr>
            <w:hyperlink r:id="rId30" w:history="1">
              <w:r w:rsidR="0062464E" w:rsidRPr="0062464E">
                <w:rPr>
                  <w:rStyle w:val="Hyperlink"/>
                  <w:rFonts w:cs="Arial"/>
                  <w:szCs w:val="20"/>
                </w:rPr>
                <w:t>http://data.bls.gov/pdq/querytool.jsp?survey=la</w:t>
              </w:r>
            </w:hyperlink>
            <w:r w:rsidR="0062464E" w:rsidRPr="0062464E">
              <w:rPr>
                <w:rFonts w:cs="Arial"/>
                <w:szCs w:val="20"/>
              </w:rPr>
              <w:t xml:space="preserve"> </w:t>
            </w: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bCs/>
                <w:szCs w:val="20"/>
              </w:rPr>
              <w:t>Average national unemployment rate</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430DFB" w:rsidP="00205580">
            <w:pPr>
              <w:spacing w:before="40" w:after="60"/>
              <w:rPr>
                <w:rFonts w:cs="Arial"/>
                <w:szCs w:val="20"/>
              </w:rPr>
            </w:pPr>
            <w:hyperlink r:id="rId31" w:history="1">
              <w:r w:rsidR="0062464E" w:rsidRPr="0062464E">
                <w:rPr>
                  <w:rStyle w:val="Hyperlink"/>
                  <w:rFonts w:cs="Arial"/>
                  <w:szCs w:val="20"/>
                </w:rPr>
                <w:t>http://www.bls.gov/</w:t>
              </w:r>
            </w:hyperlink>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szCs w:val="20"/>
              </w:rPr>
              <w:t>Property tax revenues</w:t>
            </w:r>
          </w:p>
        </w:tc>
        <w:tc>
          <w:tcPr>
            <w:tcW w:w="2430" w:type="dxa"/>
          </w:tcPr>
          <w:p w:rsidR="0062464E" w:rsidRPr="0062464E" w:rsidRDefault="0062464E" w:rsidP="00205580">
            <w:pPr>
              <w:spacing w:before="40" w:after="60"/>
              <w:jc w:val="center"/>
              <w:rPr>
                <w:rFonts w:cs="Arial"/>
                <w:szCs w:val="20"/>
              </w:rPr>
            </w:pPr>
            <w:r w:rsidRPr="0062464E">
              <w:rPr>
                <w:rFonts w:cs="Arial"/>
                <w:szCs w:val="20"/>
              </w:rPr>
              <w:t>Local government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bCs/>
                <w:szCs w:val="20"/>
              </w:rPr>
              <w:t>Property taxes levied</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r w:rsidR="0062464E" w:rsidTr="00820461">
        <w:trPr>
          <w:cantSplit/>
        </w:trPr>
        <w:tc>
          <w:tcPr>
            <w:tcW w:w="6210" w:type="dxa"/>
          </w:tcPr>
          <w:p w:rsidR="0062464E" w:rsidRPr="0062464E" w:rsidRDefault="0062464E" w:rsidP="00205580">
            <w:pPr>
              <w:spacing w:before="40" w:after="60"/>
              <w:rPr>
                <w:rFonts w:cs="Arial"/>
                <w:szCs w:val="20"/>
              </w:rPr>
            </w:pPr>
            <w:r w:rsidRPr="0062464E">
              <w:rPr>
                <w:rFonts w:cs="Arial"/>
                <w:bCs/>
                <w:szCs w:val="20"/>
              </w:rPr>
              <w:t>Property tax revenue collection rate</w:t>
            </w:r>
          </w:p>
        </w:tc>
        <w:tc>
          <w:tcPr>
            <w:tcW w:w="2430" w:type="dxa"/>
          </w:tcPr>
          <w:p w:rsidR="0062464E" w:rsidRPr="0062464E" w:rsidRDefault="0062464E" w:rsidP="00205580">
            <w:pPr>
              <w:spacing w:before="40" w:after="60"/>
              <w:jc w:val="center"/>
              <w:rPr>
                <w:rFonts w:cs="Arial"/>
                <w:szCs w:val="20"/>
              </w:rPr>
            </w:pPr>
            <w:r w:rsidRPr="0062464E">
              <w:rPr>
                <w:rFonts w:cs="Arial"/>
                <w:szCs w:val="20"/>
              </w:rPr>
              <w:t>“</w:t>
            </w:r>
          </w:p>
        </w:tc>
        <w:tc>
          <w:tcPr>
            <w:tcW w:w="5310" w:type="dxa"/>
          </w:tcPr>
          <w:p w:rsidR="0062464E" w:rsidRPr="0062464E" w:rsidRDefault="0062464E" w:rsidP="00205580">
            <w:pPr>
              <w:spacing w:before="40" w:after="60"/>
              <w:rPr>
                <w:rFonts w:cs="Arial"/>
                <w:szCs w:val="20"/>
              </w:rPr>
            </w:pPr>
          </w:p>
        </w:tc>
      </w:tr>
    </w:tbl>
    <w:p w:rsidR="0062464E" w:rsidRPr="00F125C4" w:rsidRDefault="0062464E" w:rsidP="0062464E">
      <w:pPr>
        <w:spacing w:after="120"/>
        <w:rPr>
          <w:rFonts w:cs="Arial"/>
          <w:sz w:val="16"/>
          <w:szCs w:val="16"/>
        </w:rPr>
      </w:pPr>
      <w:r>
        <w:rPr>
          <w:rFonts w:cs="Arial"/>
          <w:szCs w:val="20"/>
        </w:rPr>
        <w:t>*</w:t>
      </w:r>
      <w:r w:rsidRPr="00F125C4">
        <w:rPr>
          <w:rFonts w:cs="Arial"/>
          <w:sz w:val="16"/>
          <w:szCs w:val="16"/>
        </w:rPr>
        <w:t xml:space="preserve">To obtain median household income for the service area, from Census Bureau url, click on desired state and then select appropriate county.  Note that approximations may be required to account for differences in county and service area boundaries. </w:t>
      </w:r>
    </w:p>
    <w:p w:rsidR="0062464E" w:rsidRPr="00F125C4" w:rsidRDefault="0062464E" w:rsidP="0062464E">
      <w:pPr>
        <w:spacing w:after="120"/>
        <w:rPr>
          <w:rFonts w:cs="Arial"/>
          <w:sz w:val="16"/>
          <w:szCs w:val="16"/>
        </w:rPr>
      </w:pPr>
      <w:r w:rsidRPr="00F125C4">
        <w:rPr>
          <w:rFonts w:cs="Arial"/>
          <w:sz w:val="16"/>
          <w:szCs w:val="16"/>
        </w:rPr>
        <w:t>**To obtain county unemployment data from the url provided, select (1) state; (2) select area type of “counties or equivalent”; and (3) select the county or equivalent jurisdiction of interest.  Data are provided for the past 10 years and include annual averages.</w:t>
      </w:r>
    </w:p>
    <w:p w:rsidR="0062464E" w:rsidRDefault="0062464E" w:rsidP="0062464E">
      <w:pPr>
        <w:spacing w:after="120"/>
      </w:pPr>
      <w:r w:rsidRPr="00F125C4">
        <w:rPr>
          <w:rFonts w:cs="Arial"/>
          <w:sz w:val="16"/>
          <w:szCs w:val="16"/>
        </w:rPr>
        <w:t>FWS = U.S. Fish and Wildlife Service</w:t>
      </w:r>
      <w:r>
        <w:rPr>
          <w:sz w:val="16"/>
          <w:szCs w:val="16"/>
        </w:rPr>
        <w:t xml:space="preserve">; </w:t>
      </w:r>
      <w:r w:rsidRPr="00F125C4">
        <w:rPr>
          <w:rFonts w:cs="Arial"/>
          <w:sz w:val="16"/>
          <w:szCs w:val="16"/>
        </w:rPr>
        <w:t>NMFS = NOAA National Marine Fisheries Service</w:t>
      </w:r>
      <w:r w:rsidRPr="00F125C4">
        <w:rPr>
          <w:sz w:val="16"/>
          <w:szCs w:val="16"/>
        </w:rPr>
        <w:t xml:space="preserve"> (</w:t>
      </w:r>
      <w:r w:rsidRPr="00F125C4">
        <w:rPr>
          <w:rFonts w:cs="Arial"/>
          <w:sz w:val="16"/>
          <w:szCs w:val="16"/>
        </w:rPr>
        <w:t>NOAA = National Oceanic and Atmospheric Administration)</w:t>
      </w:r>
      <w:r>
        <w:rPr>
          <w:rFonts w:cs="Arial"/>
          <w:szCs w:val="20"/>
        </w:rPr>
        <w:t xml:space="preserve"> </w:t>
      </w:r>
      <w:r>
        <w:br/>
      </w:r>
    </w:p>
    <w:p w:rsidR="009D31C6" w:rsidRPr="009B1C17" w:rsidRDefault="009D31C6" w:rsidP="0062464E">
      <w:pPr>
        <w:spacing w:after="120"/>
        <w:rPr>
          <w:rFonts w:cs="Arial"/>
          <w:szCs w:val="20"/>
        </w:rPr>
      </w:pPr>
    </w:p>
    <w:p w:rsidR="00D00E3D" w:rsidRDefault="00D00E3D" w:rsidP="00FA6577">
      <w:pPr>
        <w:pStyle w:val="BodyText"/>
        <w:sectPr w:rsidR="00D00E3D" w:rsidSect="00EF7821">
          <w:endnotePr>
            <w:numFmt w:val="decimal"/>
            <w:numRestart w:val="eachSect"/>
          </w:endnotePr>
          <w:pgSz w:w="15840" w:h="12240" w:orient="landscape" w:code="1"/>
          <w:pgMar w:top="1440" w:right="1440" w:bottom="1440" w:left="1440" w:header="720" w:footer="720" w:gutter="0"/>
          <w:cols w:space="720"/>
          <w:docGrid w:linePitch="360"/>
        </w:sectPr>
      </w:pPr>
    </w:p>
    <w:p w:rsidR="00E17BF3" w:rsidRPr="00A21179" w:rsidRDefault="00A730EA" w:rsidP="002709A2">
      <w:pPr>
        <w:pStyle w:val="Heading1"/>
      </w:pPr>
      <w:bookmarkStart w:id="16" w:name="_Toc243725229"/>
      <w:bookmarkStart w:id="17" w:name="_Toc243809406"/>
      <w:bookmarkStart w:id="18" w:name="_Toc285015567"/>
      <w:r w:rsidRPr="00A21179">
        <w:lastRenderedPageBreak/>
        <w:t>General Instructions:</w:t>
      </w:r>
      <w:r w:rsidR="00E17BF3" w:rsidRPr="00A21179">
        <w:t xml:space="preserve"> </w:t>
      </w:r>
      <w:r w:rsidRPr="00A21179">
        <w:t>Green</w:t>
      </w:r>
      <w:r w:rsidR="00196ABA" w:rsidRPr="00A21179">
        <w:t xml:space="preserve"> </w:t>
      </w:r>
      <w:r w:rsidR="00E17BF3" w:rsidRPr="00A21179">
        <w:t xml:space="preserve">LTCP-EZ </w:t>
      </w:r>
      <w:r w:rsidRPr="00A21179">
        <w:t>Template</w:t>
      </w:r>
      <w:bookmarkEnd w:id="16"/>
      <w:bookmarkEnd w:id="17"/>
      <w:bookmarkEnd w:id="18"/>
    </w:p>
    <w:p w:rsidR="00E17BF3" w:rsidRDefault="00E17BF3" w:rsidP="00FA6577">
      <w:pPr>
        <w:pStyle w:val="BodyText"/>
      </w:pPr>
      <w:r>
        <w:t xml:space="preserve">FORM </w:t>
      </w:r>
      <w:r w:rsidR="00D76F0D">
        <w:t xml:space="preserve">GREEN </w:t>
      </w:r>
      <w:r>
        <w:t>LTCP-EZ encompasses all the information that most small CSO communities need to develop a draft LTCP. This includes characteriz</w:t>
      </w:r>
      <w:r w:rsidR="005A3962">
        <w:t>ing</w:t>
      </w:r>
      <w:r>
        <w:t xml:space="preserve"> the CSS, document</w:t>
      </w:r>
      <w:r w:rsidR="005A3962">
        <w:t>ing</w:t>
      </w:r>
      <w:r>
        <w:t xml:space="preserve"> NMC implementation, </w:t>
      </w:r>
      <w:r w:rsidR="00B14C9A">
        <w:t>document</w:t>
      </w:r>
      <w:r w:rsidR="005A3962">
        <w:t>ing</w:t>
      </w:r>
      <w:r>
        <w:t xml:space="preserve"> public participation, identif</w:t>
      </w:r>
      <w:r w:rsidR="005A3962">
        <w:t>ying</w:t>
      </w:r>
      <w:r>
        <w:t xml:space="preserve"> and prioritiz</w:t>
      </w:r>
      <w:r w:rsidR="005A3962">
        <w:t>ing</w:t>
      </w:r>
      <w:r>
        <w:t xml:space="preserve"> sensitive areas where present, and evaluatin</w:t>
      </w:r>
      <w:r w:rsidR="005A3962">
        <w:t>g</w:t>
      </w:r>
      <w:r>
        <w:t xml:space="preserve"> CSO control a</w:t>
      </w:r>
      <w:r w:rsidR="00196ABA">
        <w:t xml:space="preserve">lternatives and </w:t>
      </w:r>
      <w:r w:rsidR="009F16A8">
        <w:t>financial c</w:t>
      </w:r>
      <w:r w:rsidR="00992743">
        <w:t>apability</w:t>
      </w:r>
      <w:r w:rsidR="00196ABA">
        <w:t>.</w:t>
      </w:r>
    </w:p>
    <w:p w:rsidR="00E17BF3" w:rsidRDefault="00430DFB" w:rsidP="00FA6577">
      <w:pPr>
        <w:pStyle w:val="BodyText"/>
      </w:pPr>
      <w:r>
        <w:rPr>
          <w:noProof/>
          <w:szCs w:val="20"/>
        </w:rPr>
        <mc:AlternateContent>
          <mc:Choice Requires="wps">
            <w:drawing>
              <wp:anchor distT="0" distB="0" distL="114300" distR="114300" simplePos="0" relativeHeight="251636224" behindDoc="0" locked="0" layoutInCell="1" allowOverlap="1">
                <wp:simplePos x="0" y="0"/>
                <wp:positionH relativeFrom="column">
                  <wp:align>right</wp:align>
                </wp:positionH>
                <wp:positionV relativeFrom="paragraph">
                  <wp:posOffset>135890</wp:posOffset>
                </wp:positionV>
                <wp:extent cx="2400300" cy="1714500"/>
                <wp:effectExtent l="18415" t="9525" r="10160" b="9525"/>
                <wp:wrapSquare wrapText="bothSides"/>
                <wp:docPr id="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714500"/>
                        </a:xfrm>
                        <a:prstGeom prst="rect">
                          <a:avLst/>
                        </a:prstGeom>
                        <a:solidFill>
                          <a:srgbClr val="FFFFFF"/>
                        </a:solidFill>
                        <a:ln w="19050">
                          <a:solidFill>
                            <a:srgbClr val="000000"/>
                          </a:solidFill>
                          <a:miter lim="800000"/>
                          <a:headEnd/>
                          <a:tailEnd/>
                        </a:ln>
                      </wps:spPr>
                      <wps:txbx>
                        <w:txbxContent>
                          <w:p w:rsidR="00E659D3" w:rsidRDefault="00E659D3" w:rsidP="00B64EF9">
                            <w:pPr>
                              <w:pStyle w:val="BoxTitle"/>
                            </w:pPr>
                            <w:r>
                              <w:t>Using the Electronic Forms for the Green LTCP-EZ Template</w:t>
                            </w:r>
                          </w:p>
                          <w:p w:rsidR="00E659D3" w:rsidRDefault="00E659D3" w:rsidP="00B64EF9">
                            <w:pPr>
                              <w:pStyle w:val="BoxText"/>
                            </w:pPr>
                            <w:r>
                              <w:t>The electronic version of the Green LTCP-EZ Template forms have cells that link data in one worksheet to other worksheets. Therefore, it is important that you work on the worksheets in order and fill in all the pertinent information. If you are filling in the Green LTCP-EZ Template forms by hand, you will have to copy the information from one form into the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37.8pt;margin-top:10.7pt;width:189pt;height:135pt;z-index:25163622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" strokeweight="1.5pt">
                <v:textbox>
                  <w:txbxContent>
                    <w:p w:rsidR="00E659D3" w:rsidRDefault="00E659D3" w:rsidP="00B64EF9">
                      <w:pPr>
                        <w:pStyle w:val="BoxTitle"/>
                      </w:pPr>
                      <w:r>
                        <w:t>Using the Electronic Forms for the Green LTCP-EZ Template</w:t>
                      </w:r>
                    </w:p>
                    <w:p w:rsidR="00E659D3" w:rsidRDefault="00E659D3" w:rsidP="00B64EF9">
                      <w:pPr>
                        <w:pStyle w:val="BoxText"/>
                      </w:pPr>
                      <w:r>
                        <w:t>The electronic version of the Green LTCP-EZ Template forms have cells that link data in one worksheet to other worksheets. Therefore, it is important that you work on the worksheets in order and fill in all the pertinent information. If you are filling in the Green LTCP-EZ Template forms by hand, you will have to copy the information from one form into the other.</w:t>
                      </w:r>
                    </w:p>
                  </w:txbxContent>
                </v:textbox>
                <w10:wrap type="square"/>
              </v:shape>
            </w:pict>
          </mc:Fallback>
        </mc:AlternateContent>
      </w:r>
      <w:r w:rsidR="00E17BF3">
        <w:t xml:space="preserve">The </w:t>
      </w:r>
      <w:r w:rsidR="00D76F0D">
        <w:t xml:space="preserve">Green </w:t>
      </w:r>
      <w:r w:rsidR="00E17BF3">
        <w:t xml:space="preserve">LTCP-EZ Template includes a form (Form </w:t>
      </w:r>
      <w:r w:rsidR="00D76F0D">
        <w:t xml:space="preserve">Green </w:t>
      </w:r>
      <w:r w:rsidR="00E17BF3">
        <w:t>LTCP-EZ) and schedules for organizing the following information:</w:t>
      </w:r>
    </w:p>
    <w:p w:rsidR="00E17BF3" w:rsidRDefault="00E17BF3" w:rsidP="00FA6577">
      <w:pPr>
        <w:pStyle w:val="bullet"/>
      </w:pPr>
      <w:r>
        <w:t>General information about the CSS, the wastewater treatment plant (WWTP) and the community served</w:t>
      </w:r>
    </w:p>
    <w:p w:rsidR="0062037C" w:rsidRDefault="00E17BF3" w:rsidP="00FA6577">
      <w:pPr>
        <w:pStyle w:val="bullet"/>
      </w:pPr>
      <w:r>
        <w:t xml:space="preserve">NMC implementation activities (Schedule 1 </w:t>
      </w:r>
      <w:r w:rsidRPr="0062037C">
        <w:rPr>
          <w:bCs/>
          <w:iCs/>
        </w:rPr>
        <w:t>–</w:t>
      </w:r>
      <w:r w:rsidRPr="00FA6577">
        <w:rPr>
          <w:rStyle w:val="Bold"/>
        </w:rPr>
        <w:t xml:space="preserve"> </w:t>
      </w:r>
      <w:r>
        <w:t>NMC)</w:t>
      </w:r>
    </w:p>
    <w:p w:rsidR="00E17BF3" w:rsidRDefault="00E17BF3" w:rsidP="00FA6577">
      <w:pPr>
        <w:pStyle w:val="bullet"/>
      </w:pPr>
      <w:r>
        <w:t xml:space="preserve">Sensitive </w:t>
      </w:r>
      <w:r w:rsidR="005A3962">
        <w:t>a</w:t>
      </w:r>
      <w:r>
        <w:t>rea considerations</w:t>
      </w:r>
    </w:p>
    <w:p w:rsidR="00E17BF3" w:rsidRDefault="00E17BF3" w:rsidP="00FA6577">
      <w:pPr>
        <w:pStyle w:val="bullet"/>
      </w:pPr>
      <w:r>
        <w:t>Water quality considerations</w:t>
      </w:r>
    </w:p>
    <w:p w:rsidR="00E17BF3" w:rsidRDefault="00E17BF3" w:rsidP="00FA6577">
      <w:pPr>
        <w:pStyle w:val="bullet"/>
      </w:pPr>
      <w:r>
        <w:t xml:space="preserve">System characterization, including a map of the CSS (Schedule 2 </w:t>
      </w:r>
      <w:r w:rsidRPr="0062037C">
        <w:rPr>
          <w:bCs/>
          <w:iCs/>
        </w:rPr>
        <w:t>–</w:t>
      </w:r>
      <w:r w:rsidRPr="00FA6577">
        <w:rPr>
          <w:rStyle w:val="Bold"/>
        </w:rPr>
        <w:t xml:space="preserve"> </w:t>
      </w:r>
      <w:r>
        <w:t>MAP)</w:t>
      </w:r>
    </w:p>
    <w:p w:rsidR="00E17BF3" w:rsidRDefault="00E17BF3" w:rsidP="00FA6577">
      <w:pPr>
        <w:pStyle w:val="bullet"/>
      </w:pPr>
      <w:r>
        <w:t xml:space="preserve">Public participation activities (Schedule 3 </w:t>
      </w:r>
      <w:r w:rsidRPr="0062037C">
        <w:rPr>
          <w:bCs/>
          <w:iCs/>
        </w:rPr>
        <w:t xml:space="preserve">– </w:t>
      </w:r>
      <w:r w:rsidRPr="0062037C">
        <w:t>PUBLIC</w:t>
      </w:r>
      <w:r>
        <w:t xml:space="preserve"> PARTICIPATION)</w:t>
      </w:r>
    </w:p>
    <w:p w:rsidR="00E17BF3" w:rsidRDefault="00E17BF3" w:rsidP="00FA6577">
      <w:pPr>
        <w:pStyle w:val="bullet"/>
      </w:pPr>
      <w:r>
        <w:t>CSO volume that needs to be controlled (Schedule 4</w:t>
      </w:r>
      <w:r w:rsidRPr="0062037C">
        <w:t xml:space="preserve"> </w:t>
      </w:r>
      <w:r w:rsidRPr="0062037C">
        <w:rPr>
          <w:bCs/>
          <w:iCs/>
        </w:rPr>
        <w:t>–</w:t>
      </w:r>
      <w:r w:rsidRPr="00FA6577">
        <w:rPr>
          <w:rStyle w:val="Bold"/>
        </w:rPr>
        <w:t xml:space="preserve"> </w:t>
      </w:r>
      <w:r>
        <w:t>CSO VOLUME)</w:t>
      </w:r>
    </w:p>
    <w:p w:rsidR="00831FFF" w:rsidRDefault="00831FFF" w:rsidP="00FA6577">
      <w:pPr>
        <w:pStyle w:val="bullet"/>
      </w:pPr>
      <w:r>
        <w:t xml:space="preserve">Evaluation of </w:t>
      </w:r>
      <w:r w:rsidR="00E32832">
        <w:t>green infrastructure</w:t>
      </w:r>
      <w:r w:rsidR="006C54CF">
        <w:t xml:space="preserve"> runoff controls</w:t>
      </w:r>
      <w:r>
        <w:t xml:space="preserve"> (Schedule 5</w:t>
      </w:r>
      <w:r w:rsidR="00E32832">
        <w:t>A</w:t>
      </w:r>
      <w:r w:rsidRPr="0062037C">
        <w:t xml:space="preserve"> </w:t>
      </w:r>
      <w:r w:rsidRPr="0062037C">
        <w:rPr>
          <w:bCs/>
          <w:iCs/>
        </w:rPr>
        <w:t>–</w:t>
      </w:r>
      <w:r w:rsidRPr="00FA6577">
        <w:rPr>
          <w:rStyle w:val="Bold"/>
        </w:rPr>
        <w:t xml:space="preserve"> </w:t>
      </w:r>
      <w:r>
        <w:t xml:space="preserve">CSO </w:t>
      </w:r>
      <w:r w:rsidR="00D270DE">
        <w:t xml:space="preserve">RUNOFF </w:t>
      </w:r>
      <w:r>
        <w:t>CONTROL)</w:t>
      </w:r>
    </w:p>
    <w:p w:rsidR="00E17BF3" w:rsidRDefault="00E17BF3" w:rsidP="00FA6577">
      <w:pPr>
        <w:pStyle w:val="bullet"/>
      </w:pPr>
      <w:r>
        <w:t>Evaluation of</w:t>
      </w:r>
      <w:r w:rsidR="006C54CF">
        <w:t xml:space="preserve"> pipe network</w:t>
      </w:r>
      <w:r>
        <w:t xml:space="preserve"> CSO controls (Schedule 5</w:t>
      </w:r>
      <w:r w:rsidR="00E32832">
        <w:t>B</w:t>
      </w:r>
      <w:r w:rsidRPr="0062037C">
        <w:t xml:space="preserve"> </w:t>
      </w:r>
      <w:r w:rsidRPr="0062037C">
        <w:rPr>
          <w:bCs/>
          <w:iCs/>
        </w:rPr>
        <w:t xml:space="preserve">– </w:t>
      </w:r>
      <w:r>
        <w:t xml:space="preserve">CSO </w:t>
      </w:r>
      <w:r w:rsidR="00D270DE">
        <w:t xml:space="preserve">NETWORK and WWTP </w:t>
      </w:r>
      <w:r>
        <w:t>CONTROL)</w:t>
      </w:r>
    </w:p>
    <w:p w:rsidR="00E17BF3" w:rsidRDefault="00FC65E9" w:rsidP="00FA6577">
      <w:pPr>
        <w:pStyle w:val="bullet"/>
      </w:pPr>
      <w:r>
        <w:t xml:space="preserve">Financial </w:t>
      </w:r>
      <w:r w:rsidR="005A3962">
        <w:t>c</w:t>
      </w:r>
      <w:r w:rsidR="00992743">
        <w:t>apability</w:t>
      </w:r>
      <w:r w:rsidR="00E17BF3">
        <w:t xml:space="preserve"> analysis (Schedule 6</w:t>
      </w:r>
      <w:r w:rsidR="00E17BF3" w:rsidRPr="0062037C">
        <w:t xml:space="preserve"> </w:t>
      </w:r>
      <w:r w:rsidR="00E17BF3" w:rsidRPr="0062037C">
        <w:rPr>
          <w:bCs/>
          <w:iCs/>
        </w:rPr>
        <w:t xml:space="preserve">– </w:t>
      </w:r>
      <w:r w:rsidR="00E17BF3">
        <w:t xml:space="preserve">CSO </w:t>
      </w:r>
      <w:r>
        <w:t xml:space="preserve">FINANCIAL </w:t>
      </w:r>
      <w:r w:rsidR="00992743">
        <w:t>CAPABILITY</w:t>
      </w:r>
      <w:r w:rsidR="00E17BF3">
        <w:t>)</w:t>
      </w:r>
    </w:p>
    <w:p w:rsidR="00E17BF3" w:rsidRDefault="00E17BF3" w:rsidP="00FA6577">
      <w:pPr>
        <w:pStyle w:val="bullet"/>
      </w:pPr>
      <w:r>
        <w:t>Recommended CSO Control Plan, including financing plan and implementation schedule</w:t>
      </w:r>
    </w:p>
    <w:p w:rsidR="00E17BF3" w:rsidRDefault="00430DFB" w:rsidP="00FA6577">
      <w:pPr>
        <w:pStyle w:val="BodyText"/>
      </w:pPr>
      <w:r>
        <w:rPr>
          <w:noProof/>
        </w:rPr>
        <mc:AlternateContent>
          <mc:Choice Requires="wps">
            <w:drawing>
              <wp:anchor distT="0" distB="0" distL="114300" distR="114300" simplePos="0" relativeHeight="251637248" behindDoc="0" locked="0" layoutInCell="1" allowOverlap="1">
                <wp:simplePos x="0" y="0"/>
                <wp:positionH relativeFrom="column">
                  <wp:posOffset>3533775</wp:posOffset>
                </wp:positionH>
                <wp:positionV relativeFrom="paragraph">
                  <wp:posOffset>88900</wp:posOffset>
                </wp:positionV>
                <wp:extent cx="2400300" cy="1955800"/>
                <wp:effectExtent l="9525" t="9525" r="9525" b="15875"/>
                <wp:wrapSquare wrapText="bothSides"/>
                <wp:docPr id="1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955800"/>
                        </a:xfrm>
                        <a:prstGeom prst="rect">
                          <a:avLst/>
                        </a:prstGeom>
                        <a:solidFill>
                          <a:srgbClr val="FFFFFF"/>
                        </a:solidFill>
                        <a:ln w="19050">
                          <a:solidFill>
                            <a:srgbClr val="000000"/>
                          </a:solidFill>
                          <a:miter lim="800000"/>
                          <a:headEnd/>
                          <a:tailEnd/>
                        </a:ln>
                      </wps:spPr>
                      <wps:txbx>
                        <w:txbxContent>
                          <w:p w:rsidR="00E659D3" w:rsidRDefault="00E659D3" w:rsidP="00B64EF9">
                            <w:pPr>
                              <w:pStyle w:val="BoxTitle"/>
                            </w:pPr>
                            <w:r>
                              <w:t>Guidance from EPA</w:t>
                            </w:r>
                          </w:p>
                          <w:p w:rsidR="00E659D3" w:rsidRDefault="00E659D3" w:rsidP="00B64EF9">
                            <w:pPr>
                              <w:pStyle w:val="BoxText"/>
                            </w:pPr>
                            <w:r>
                              <w:t xml:space="preserve">EPA has developed the </w:t>
                            </w:r>
                            <w:r>
                              <w:rPr>
                                <w:i/>
                              </w:rPr>
                              <w:t xml:space="preserve">Combined Sewer Overflows Guidance for Long-Term Control Plan </w:t>
                            </w:r>
                            <w:r w:rsidRPr="0017079F">
                              <w:t xml:space="preserve">(EPA </w:t>
                            </w:r>
                            <w:r>
                              <w:t xml:space="preserve">1995a) </w:t>
                            </w:r>
                            <w:r w:rsidRPr="0017079F">
                              <w:t>to</w:t>
                            </w:r>
                            <w:r>
                              <w:t xml:space="preserve"> help municipalities develop an LTCP that includes technology-based and water quality-based control measures that are technically feasible, financially capable, and consistent with the CSO Control Policy. The guidance is available at:</w:t>
                            </w:r>
                          </w:p>
                          <w:p w:rsidR="00E659D3" w:rsidRDefault="00E659D3">
                            <w:pPr>
                              <w:pStyle w:val="Norma"/>
                              <w:rPr>
                                <w:sz w:val="18"/>
                                <w:szCs w:val="20"/>
                              </w:rPr>
                            </w:pPr>
                          </w:p>
                          <w:p w:rsidR="00E659D3" w:rsidRDefault="00E659D3" w:rsidP="00B64EF9">
                            <w:pPr>
                              <w:pStyle w:val="BoxText"/>
                            </w:pPr>
                            <w:r w:rsidRPr="0017079F">
                              <w:t>(http://www.epa.gov/npdes/pubs/owm0272.pdf)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278.25pt;margin-top:7pt;width:189pt;height:15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" strokeweight="1.5pt">
                <v:textbox>
                  <w:txbxContent>
                    <w:p w:rsidR="00E659D3" w:rsidRDefault="00E659D3" w:rsidP="00B64EF9">
                      <w:pPr>
                        <w:pStyle w:val="BoxTitle"/>
                      </w:pPr>
                      <w:r>
                        <w:t>Guidance from EPA</w:t>
                      </w:r>
                    </w:p>
                    <w:p w:rsidR="00E659D3" w:rsidRDefault="00E659D3" w:rsidP="00B64EF9">
                      <w:pPr>
                        <w:pStyle w:val="BoxText"/>
                      </w:pPr>
                      <w:r>
                        <w:t xml:space="preserve">EPA has developed the </w:t>
                      </w:r>
                      <w:r>
                        <w:rPr>
                          <w:i/>
                        </w:rPr>
                        <w:t xml:space="preserve">Combined Sewer Overflows Guidance for Long-Term Control Plan </w:t>
                      </w:r>
                      <w:r w:rsidRPr="0017079F">
                        <w:t xml:space="preserve">(EPA </w:t>
                      </w:r>
                      <w:r>
                        <w:t xml:space="preserve">1995a) </w:t>
                      </w:r>
                      <w:r w:rsidRPr="0017079F">
                        <w:t>to</w:t>
                      </w:r>
                      <w:r>
                        <w:t xml:space="preserve"> help municipalities develop an LTCP that includes technology-based and water quality-based control measures that are technically feasible, financially capable, and consistent with the CSO Control Policy. The guidance is available at:</w:t>
                      </w:r>
                    </w:p>
                    <w:p w:rsidR="00E659D3" w:rsidRDefault="00E659D3">
                      <w:pPr>
                        <w:pStyle w:val="Norma"/>
                        <w:rPr>
                          <w:sz w:val="18"/>
                          <w:szCs w:val="20"/>
                        </w:rPr>
                      </w:pPr>
                    </w:p>
                    <w:p w:rsidR="00E659D3" w:rsidRDefault="00E659D3" w:rsidP="00B64EF9">
                      <w:pPr>
                        <w:pStyle w:val="BoxText"/>
                      </w:pPr>
                      <w:r w:rsidRPr="0017079F">
                        <w:t>(http://www.epa.gov/npdes/pubs/owm0272.pdf)</w:t>
                      </w:r>
                    </w:p>
                  </w:txbxContent>
                </v:textbox>
                <w10:wrap type="square"/>
              </v:shape>
            </w:pict>
          </mc:Fallback>
        </mc:AlternateContent>
      </w:r>
      <w:r w:rsidR="00E17BF3">
        <w:t xml:space="preserve">Permittees intending to use the </w:t>
      </w:r>
      <w:r w:rsidR="00D76F0D">
        <w:t xml:space="preserve">Green </w:t>
      </w:r>
      <w:r w:rsidR="00E17BF3">
        <w:t>LTCP-EZ Template should assemble the following information:</w:t>
      </w:r>
    </w:p>
    <w:p w:rsidR="00E17BF3" w:rsidRDefault="00E17BF3" w:rsidP="00FA6577">
      <w:pPr>
        <w:pStyle w:val="bullet"/>
      </w:pPr>
      <w:r>
        <w:t>The NPDES permit.</w:t>
      </w:r>
    </w:p>
    <w:p w:rsidR="00E17BF3" w:rsidRDefault="00E17BF3" w:rsidP="00FA6577">
      <w:pPr>
        <w:pStyle w:val="bullet"/>
      </w:pPr>
      <w:r>
        <w:t>General information about the CSS and the WWTP including sub-sewershed delineations for individual CSO outfalls and the capacities of hydraulic control structures, interceptors, and wastewater treatment</w:t>
      </w:r>
      <w:r w:rsidR="005A3962">
        <w:t xml:space="preserve"> (WWT)</w:t>
      </w:r>
      <w:r>
        <w:t xml:space="preserve"> processes.</w:t>
      </w:r>
    </w:p>
    <w:p w:rsidR="00E17BF3" w:rsidRDefault="00E17BF3" w:rsidP="00FA6577">
      <w:pPr>
        <w:pStyle w:val="bullet"/>
      </w:pPr>
      <w:r>
        <w:t>Relevant engineering studies and facility plans for the sewer system and WWTP if available.</w:t>
      </w:r>
    </w:p>
    <w:p w:rsidR="00E17BF3" w:rsidRDefault="00E17BF3" w:rsidP="00FA6577">
      <w:pPr>
        <w:pStyle w:val="bullet"/>
      </w:pPr>
      <w:r>
        <w:t>Maps for sewer system.</w:t>
      </w:r>
    </w:p>
    <w:p w:rsidR="00E17BF3" w:rsidRDefault="00E17BF3" w:rsidP="00FA6577">
      <w:pPr>
        <w:pStyle w:val="bullet"/>
      </w:pPr>
      <w:r>
        <w:t>General demographic information for the community.</w:t>
      </w:r>
    </w:p>
    <w:p w:rsidR="00E17BF3" w:rsidRDefault="00E17BF3" w:rsidP="00FA6577">
      <w:pPr>
        <w:pStyle w:val="bullet"/>
      </w:pPr>
      <w:r>
        <w:t>General financial information for the community.</w:t>
      </w:r>
    </w:p>
    <w:p w:rsidR="0062037C" w:rsidRDefault="00E17BF3" w:rsidP="00FA6577">
      <w:pPr>
        <w:pStyle w:val="bullet"/>
      </w:pPr>
      <w:r>
        <w:t>A summary of historical actions and current programs that represent implementation of the NMCs. The NMC are controls that can reduce CSOs and their effects on receiving waters, do not require significant engineering studies or major construction, and can be implemented in a relatively short period (e.g., less than approximately two years)</w:t>
      </w:r>
      <w:r w:rsidR="0062037C">
        <w:t>.</w:t>
      </w:r>
    </w:p>
    <w:p w:rsidR="00E17BF3" w:rsidRDefault="00E17BF3" w:rsidP="00FA6577">
      <w:pPr>
        <w:pStyle w:val="bullet"/>
      </w:pPr>
      <w:r>
        <w:t>Information on water quality conditions in local waterbodies that receive CSO discharges.</w:t>
      </w:r>
    </w:p>
    <w:p w:rsidR="00E17BF3" w:rsidRDefault="00E17BF3" w:rsidP="00FA6577">
      <w:pPr>
        <w:pStyle w:val="BodyText"/>
      </w:pPr>
      <w:bookmarkStart w:id="19" w:name="OLE_LINK1"/>
      <w:bookmarkStart w:id="20" w:name="OLE_LINK5"/>
      <w:r>
        <w:t xml:space="preserve">Once complete, the </w:t>
      </w:r>
      <w:r w:rsidR="00D76F0D">
        <w:t xml:space="preserve">Green </w:t>
      </w:r>
      <w:r>
        <w:t xml:space="preserve">LTCP-EZ Template (FORM </w:t>
      </w:r>
      <w:r w:rsidR="00D76F0D">
        <w:t xml:space="preserve">GREEN </w:t>
      </w:r>
      <w:r>
        <w:t xml:space="preserve">LTCP-EZ with accompanying schedules) </w:t>
      </w:r>
      <w:r>
        <w:rPr>
          <w:bCs/>
          <w:iCs/>
        </w:rPr>
        <w:t>can</w:t>
      </w:r>
      <w:r>
        <w:t xml:space="preserve"> serve as a draft LTCP for a small community. </w:t>
      </w:r>
      <w:bookmarkEnd w:id="19"/>
      <w:bookmarkEnd w:id="20"/>
      <w:r>
        <w:rPr>
          <w:bCs/>
          <w:iCs/>
        </w:rPr>
        <w:t xml:space="preserve">All the schedules provided in the </w:t>
      </w:r>
      <w:r w:rsidR="00D76F0D">
        <w:rPr>
          <w:bCs/>
          <w:iCs/>
        </w:rPr>
        <w:t xml:space="preserve">Green </w:t>
      </w:r>
      <w:r>
        <w:rPr>
          <w:bCs/>
          <w:iCs/>
        </w:rPr>
        <w:t>LTCP-EZ Template m</w:t>
      </w:r>
      <w:r w:rsidR="005A3962">
        <w:rPr>
          <w:bCs/>
          <w:iCs/>
        </w:rPr>
        <w:t>ight</w:t>
      </w:r>
      <w:r>
        <w:rPr>
          <w:bCs/>
          <w:iCs/>
        </w:rPr>
        <w:t xml:space="preserve"> not be appropriate for every permittee. It m</w:t>
      </w:r>
      <w:r w:rsidR="005A3962">
        <w:rPr>
          <w:bCs/>
          <w:iCs/>
        </w:rPr>
        <w:t>ight</w:t>
      </w:r>
      <w:r>
        <w:rPr>
          <w:bCs/>
          <w:iCs/>
        </w:rPr>
        <w:t xml:space="preserve"> not be necessary</w:t>
      </w:r>
      <w:r>
        <w:rPr>
          <w:b/>
          <w:bCs/>
          <w:i/>
          <w:iCs/>
        </w:rPr>
        <w:t xml:space="preserve"> </w:t>
      </w:r>
      <w:r>
        <w:t xml:space="preserve">to use all the schedules </w:t>
      </w:r>
      <w:r>
        <w:lastRenderedPageBreak/>
        <w:t xml:space="preserve">provided in this template </w:t>
      </w:r>
      <w:r>
        <w:rPr>
          <w:bCs/>
          <w:iCs/>
        </w:rPr>
        <w:t>to complete a draft LTCP</w:t>
      </w:r>
      <w:r>
        <w:t xml:space="preserve">. </w:t>
      </w:r>
      <w:r>
        <w:rPr>
          <w:bCs/>
          <w:iCs/>
        </w:rPr>
        <w:t>In addition,</w:t>
      </w:r>
      <w:r>
        <w:rPr>
          <w:b/>
          <w:bCs/>
          <w:i/>
          <w:iCs/>
        </w:rPr>
        <w:t xml:space="preserve"> </w:t>
      </w:r>
      <w:r>
        <w:t xml:space="preserve">permittees can attach the relevant documentation to FORM </w:t>
      </w:r>
      <w:r w:rsidR="00D76F0D">
        <w:t xml:space="preserve">GREEN </w:t>
      </w:r>
      <w:r>
        <w:t xml:space="preserve">LTCP-EZ in </w:t>
      </w:r>
      <w:r>
        <w:rPr>
          <w:bCs/>
          <w:iCs/>
        </w:rPr>
        <w:t>a format other than</w:t>
      </w:r>
      <w:r>
        <w:rPr>
          <w:b/>
          <w:bCs/>
          <w:i/>
          <w:iCs/>
        </w:rPr>
        <w:t xml:space="preserve"> </w:t>
      </w:r>
      <w:r>
        <w:t>the schedules</w:t>
      </w:r>
      <w:r>
        <w:rPr>
          <w:b/>
          <w:bCs/>
          <w:i/>
          <w:iCs/>
        </w:rPr>
        <w:t xml:space="preserve"> </w:t>
      </w:r>
      <w:r>
        <w:rPr>
          <w:bCs/>
          <w:iCs/>
        </w:rPr>
        <w:t xml:space="preserve">provided in the </w:t>
      </w:r>
      <w:r w:rsidR="00D76F0D">
        <w:rPr>
          <w:bCs/>
          <w:iCs/>
        </w:rPr>
        <w:t xml:space="preserve">Green </w:t>
      </w:r>
      <w:r>
        <w:rPr>
          <w:bCs/>
          <w:iCs/>
        </w:rPr>
        <w:t>LTCP-EZ Template</w:t>
      </w:r>
      <w:r>
        <w:t xml:space="preserve">. </w:t>
      </w:r>
    </w:p>
    <w:p w:rsidR="00FA6577" w:rsidRDefault="00FA6577" w:rsidP="00FA6577">
      <w:pPr>
        <w:pStyle w:val="BodyText"/>
      </w:pPr>
    </w:p>
    <w:p w:rsidR="00FA6577" w:rsidRDefault="00FA6577" w:rsidP="00FA6577">
      <w:pPr>
        <w:pStyle w:val="BodyText"/>
        <w:sectPr w:rsidR="00FA6577" w:rsidSect="00862823">
          <w:headerReference w:type="even" r:id="rId32"/>
          <w:headerReference w:type="default" r:id="rId33"/>
          <w:footerReference w:type="default" r:id="rId34"/>
          <w:endnotePr>
            <w:numFmt w:val="decimal"/>
            <w:numRestart w:val="eachSect"/>
          </w:endnotePr>
          <w:pgSz w:w="12240" w:h="15840" w:code="1"/>
          <w:pgMar w:top="1440" w:right="1440" w:bottom="1440" w:left="1440" w:header="720" w:footer="720" w:gutter="0"/>
          <w:cols w:space="720"/>
          <w:docGrid w:linePitch="360"/>
        </w:sectPr>
      </w:pPr>
    </w:p>
    <w:p w:rsidR="00E17BF3" w:rsidRDefault="00E17BF3">
      <w:pPr>
        <w:rPr>
          <w:rFonts w:cs="Arial"/>
          <w:szCs w:val="20"/>
        </w:rPr>
      </w:pPr>
    </w:p>
    <w:p w:rsidR="00E17BF3" w:rsidRDefault="00FA6577">
      <w:pPr>
        <w:rPr>
          <w:rFonts w:cs="Arial"/>
          <w:color w:val="FF0000"/>
          <w:szCs w:val="20"/>
        </w:rPr>
        <w:sectPr w:rsidR="00E17BF3" w:rsidSect="0006223A">
          <w:headerReference w:type="even" r:id="rId35"/>
          <w:endnotePr>
            <w:numFmt w:val="decimal"/>
            <w:numRestart w:val="eachSect"/>
          </w:endnotePr>
          <w:type w:val="continuous"/>
          <w:pgSz w:w="12240" w:h="15840" w:code="1"/>
          <w:pgMar w:top="1440" w:right="1440" w:bottom="1440" w:left="1440" w:header="720" w:footer="720" w:gutter="0"/>
          <w:cols w:space="720"/>
          <w:docGrid w:linePitch="360"/>
        </w:sectPr>
      </w:pPr>
      <w:r>
        <w:rPr>
          <w:rFonts w:cs="Arial"/>
          <w:color w:val="FF0000"/>
          <w:szCs w:val="20"/>
        </w:rPr>
        <w:br w:type="page"/>
      </w:r>
    </w:p>
    <w:p w:rsidR="00E17BF3" w:rsidRDefault="00A730EA" w:rsidP="00A20390">
      <w:pPr>
        <w:pStyle w:val="Heading1"/>
      </w:pPr>
      <w:bookmarkStart w:id="21" w:name="_Toc243725230"/>
      <w:bookmarkStart w:id="22" w:name="_Toc243809407"/>
      <w:bookmarkStart w:id="23" w:name="_Toc285015568"/>
      <w:bookmarkStart w:id="24" w:name="_Toc127078215"/>
      <w:r>
        <w:lastRenderedPageBreak/>
        <w:t xml:space="preserve">Instructions: Form Green </w:t>
      </w:r>
      <w:r w:rsidR="00B64EF9">
        <w:br/>
      </w:r>
      <w:r w:rsidR="00E17BF3">
        <w:t>LTCP-EZ</w:t>
      </w:r>
      <w:bookmarkEnd w:id="21"/>
      <w:bookmarkEnd w:id="22"/>
      <w:bookmarkEnd w:id="23"/>
    </w:p>
    <w:p w:rsidR="0062037C" w:rsidRDefault="00E17BF3" w:rsidP="003859D2">
      <w:pPr>
        <w:pStyle w:val="Heading2"/>
      </w:pPr>
      <w:bookmarkStart w:id="25" w:name="_Toc243725231"/>
      <w:bookmarkStart w:id="26" w:name="_Toc243809408"/>
      <w:bookmarkStart w:id="27" w:name="_Toc285015569"/>
      <w:r>
        <w:t>General Information</w:t>
      </w:r>
      <w:bookmarkEnd w:id="24"/>
      <w:bookmarkEnd w:id="25"/>
      <w:bookmarkEnd w:id="26"/>
      <w:bookmarkEnd w:id="27"/>
    </w:p>
    <w:p w:rsidR="00E17BF3" w:rsidRDefault="00E17BF3" w:rsidP="00FA6577">
      <w:pPr>
        <w:pStyle w:val="BodyText"/>
      </w:pPr>
      <w:r w:rsidRPr="00A64758">
        <w:rPr>
          <w:rStyle w:val="Bold"/>
        </w:rPr>
        <w:t xml:space="preserve">Line 1 – Community Information. </w:t>
      </w:r>
      <w:r>
        <w:t xml:space="preserve">Enter the community name, National Pollutant Discharge Elimination System (NPDES) permit number, owner/operator, facility name, mailing address, telephone number, fax number, email address, </w:t>
      </w:r>
      <w:r w:rsidR="005A3962">
        <w:t>and</w:t>
      </w:r>
      <w:r>
        <w:t xml:space="preserve"> the date.</w:t>
      </w:r>
    </w:p>
    <w:p w:rsidR="00E17BF3" w:rsidRDefault="00E17BF3" w:rsidP="00FA6577">
      <w:pPr>
        <w:pStyle w:val="BodyText"/>
      </w:pPr>
      <w:r w:rsidRPr="00A64758">
        <w:rPr>
          <w:rStyle w:val="Bold"/>
        </w:rPr>
        <w:t xml:space="preserve">Line 2 – System Type. </w:t>
      </w:r>
      <w:r>
        <w:rPr>
          <w:bCs/>
        </w:rPr>
        <w:t xml:space="preserve">Identify the type of system </w:t>
      </w:r>
      <w:r w:rsidR="005A3962">
        <w:rPr>
          <w:bCs/>
        </w:rPr>
        <w:t xml:space="preserve">for which </w:t>
      </w:r>
      <w:r>
        <w:t>this LTCP is being developed:</w:t>
      </w:r>
    </w:p>
    <w:p w:rsidR="00E17BF3" w:rsidRDefault="00E17BF3" w:rsidP="00A20390">
      <w:pPr>
        <w:pStyle w:val="bullet"/>
      </w:pPr>
      <w:r>
        <w:t>NPDES permit for a CSS with a WWTP or</w:t>
      </w:r>
    </w:p>
    <w:p w:rsidR="00E17BF3" w:rsidRDefault="00E17BF3" w:rsidP="00A20390">
      <w:pPr>
        <w:pStyle w:val="bullet"/>
      </w:pPr>
      <w:r>
        <w:t>NPDES permit for a CSS without a WWTP</w:t>
      </w:r>
    </w:p>
    <w:p w:rsidR="00E17BF3" w:rsidRPr="00A64758" w:rsidRDefault="00E17BF3" w:rsidP="00FA6577">
      <w:pPr>
        <w:pStyle w:val="BodyText"/>
        <w:rPr>
          <w:rStyle w:val="Bold"/>
        </w:rPr>
      </w:pPr>
      <w:r w:rsidRPr="00A64758">
        <w:rPr>
          <w:rStyle w:val="Bold"/>
        </w:rPr>
        <w:t>Line 3a – CSS</w:t>
      </w:r>
      <w:r w:rsidRPr="003859D2">
        <w:t>. Enter the total area served by the CSS in acres.</w:t>
      </w:r>
    </w:p>
    <w:p w:rsidR="00E17BF3" w:rsidRDefault="00E17BF3" w:rsidP="00FA6577">
      <w:pPr>
        <w:pStyle w:val="BodyText"/>
      </w:pPr>
      <w:r w:rsidRPr="00A64758">
        <w:rPr>
          <w:rStyle w:val="Bold"/>
        </w:rPr>
        <w:t xml:space="preserve">Line 3b – </w:t>
      </w:r>
      <w:r>
        <w:t>Enter the number of permitted CSO outfalls.</w:t>
      </w:r>
    </w:p>
    <w:p w:rsidR="00E17BF3" w:rsidRDefault="00E17BF3" w:rsidP="00FA6577">
      <w:pPr>
        <w:pStyle w:val="BodyText"/>
      </w:pPr>
      <w:r w:rsidRPr="00A64758">
        <w:rPr>
          <w:rStyle w:val="Bold"/>
        </w:rPr>
        <w:t xml:space="preserve">Line 4 – WWTP. </w:t>
      </w:r>
      <w:r>
        <w:rPr>
          <w:bCs/>
        </w:rPr>
        <w:t xml:space="preserve">Enter </w:t>
      </w:r>
      <w:r>
        <w:t>the following information for WWTP capacity in million gallons per day (MGD).</w:t>
      </w:r>
    </w:p>
    <w:p w:rsidR="0062037C" w:rsidRDefault="00E17BF3" w:rsidP="00A20390">
      <w:pPr>
        <w:pStyle w:val="bullet"/>
      </w:pPr>
      <w:r w:rsidRPr="00FA6577">
        <w:rPr>
          <w:rStyle w:val="Bold"/>
        </w:rPr>
        <w:t>Line 4a</w:t>
      </w:r>
      <w:r>
        <w:t xml:space="preserve"> – Primary treatment capacity in MGD</w:t>
      </w:r>
      <w:r w:rsidR="0062037C">
        <w:t>.</w:t>
      </w:r>
    </w:p>
    <w:p w:rsidR="00E17BF3" w:rsidRDefault="00E17BF3" w:rsidP="00A20390">
      <w:pPr>
        <w:pStyle w:val="bullet"/>
      </w:pPr>
      <w:r w:rsidRPr="00FA6577">
        <w:rPr>
          <w:rStyle w:val="Bold"/>
        </w:rPr>
        <w:t>Line 4b</w:t>
      </w:r>
      <w:r>
        <w:t xml:space="preserve"> – Secondary treatment capacity in MGD.</w:t>
      </w:r>
    </w:p>
    <w:p w:rsidR="0062037C" w:rsidRDefault="00E17BF3" w:rsidP="00A20390">
      <w:pPr>
        <w:pStyle w:val="bullet"/>
      </w:pPr>
      <w:r w:rsidRPr="00FA6577">
        <w:rPr>
          <w:rStyle w:val="Bold"/>
        </w:rPr>
        <w:t>Line 4c</w:t>
      </w:r>
      <w:r>
        <w:t xml:space="preserve"> – Average dry</w:t>
      </w:r>
      <w:r w:rsidR="005A3962">
        <w:t>-</w:t>
      </w:r>
      <w:r>
        <w:t>weather flow in MGD. Dry</w:t>
      </w:r>
      <w:r w:rsidR="005A3962">
        <w:t>-</w:t>
      </w:r>
      <w:r>
        <w:t>weather flow is the base sanitary flow delivered to a CSS in periods without rainfall or snowmelt. It represents the sum of flows from homes, industry, commercial activities, and infiltration. Dry</w:t>
      </w:r>
      <w:r w:rsidR="005A3962">
        <w:t>-</w:t>
      </w:r>
      <w:r>
        <w:t>weather flow is usually measured at the WWTP and recorded on a Discharge Monitoring Report (DMR)</w:t>
      </w:r>
      <w:r w:rsidR="0062037C">
        <w:t>.</w:t>
      </w:r>
    </w:p>
    <w:p w:rsidR="00E17BF3" w:rsidRDefault="00E17BF3" w:rsidP="00FA6577">
      <w:pPr>
        <w:pStyle w:val="BodyText"/>
      </w:pPr>
      <w:r>
        <w:t xml:space="preserve">For the purposes of the calculation in the </w:t>
      </w:r>
      <w:r w:rsidR="00FF476A">
        <w:t xml:space="preserve">Green </w:t>
      </w:r>
      <w:r>
        <w:t>LTCP-EZ Template, base sanitary flow is assumed to be constant. There is no need to adjust entries for diurnal or seasonal variation.</w:t>
      </w:r>
    </w:p>
    <w:p w:rsidR="00E17BF3" w:rsidRDefault="00E17BF3" w:rsidP="003859D2">
      <w:pPr>
        <w:pStyle w:val="Heading2"/>
      </w:pPr>
      <w:bookmarkStart w:id="28" w:name="_Toc127078217"/>
      <w:bookmarkStart w:id="29" w:name="_Toc243725232"/>
      <w:bookmarkStart w:id="30" w:name="_Toc243809409"/>
      <w:bookmarkStart w:id="31" w:name="_Toc285015570"/>
      <w:r>
        <w:t>Nine Minimum Controls</w:t>
      </w:r>
      <w:bookmarkEnd w:id="28"/>
      <w:bookmarkEnd w:id="29"/>
      <w:bookmarkEnd w:id="30"/>
      <w:bookmarkEnd w:id="31"/>
    </w:p>
    <w:p w:rsidR="0062037C" w:rsidRDefault="00E17BF3" w:rsidP="00FA6577">
      <w:pPr>
        <w:pStyle w:val="BodyText"/>
      </w:pPr>
      <w:r>
        <w:t xml:space="preserve">The </w:t>
      </w:r>
      <w:r>
        <w:rPr>
          <w:bCs/>
          <w:iCs/>
        </w:rPr>
        <w:t xml:space="preserve">CSO Control Policy (Section II.B.) sets out </w:t>
      </w:r>
      <w:r w:rsidR="005A3962">
        <w:rPr>
          <w:bCs/>
          <w:iCs/>
        </w:rPr>
        <w:t>NMCs</w:t>
      </w:r>
      <w:r>
        <w:rPr>
          <w:b/>
          <w:bCs/>
          <w:i/>
          <w:iCs/>
        </w:rPr>
        <w:t xml:space="preserve"> </w:t>
      </w:r>
      <w:r w:rsidR="005A3962">
        <w:rPr>
          <w:bCs/>
          <w:iCs/>
        </w:rPr>
        <w:t>that</w:t>
      </w:r>
      <w:r w:rsidR="005A3962">
        <w:t xml:space="preserve"> </w:t>
      </w:r>
      <w:r>
        <w:t xml:space="preserve">are technology-based controls that communities are expected to use to address CSO problems, without undertaking extensive engineering studies or significant construction costs, before long-term measures are taken. </w:t>
      </w:r>
      <w:r>
        <w:rPr>
          <w:bCs/>
          <w:iCs/>
        </w:rPr>
        <w:t>Permittees with CSSs experiencing CSOs should</w:t>
      </w:r>
      <w:r>
        <w:rPr>
          <w:b/>
          <w:bCs/>
          <w:i/>
          <w:iCs/>
        </w:rPr>
        <w:t xml:space="preserve"> </w:t>
      </w:r>
      <w:r>
        <w:rPr>
          <w:bCs/>
          <w:iCs/>
        </w:rPr>
        <w:t>have implemented</w:t>
      </w:r>
      <w:r>
        <w:rPr>
          <w:b/>
          <w:bCs/>
          <w:i/>
          <w:iCs/>
        </w:rPr>
        <w:t xml:space="preserve"> </w:t>
      </w:r>
      <w:r>
        <w:t>the NMC</w:t>
      </w:r>
      <w:r w:rsidR="005B40DF">
        <w:t>s</w:t>
      </w:r>
      <w:r>
        <w:t xml:space="preserve"> with appropriate documentation by January 1, 1997.The NMC</w:t>
      </w:r>
      <w:r w:rsidR="005B40DF">
        <w:t>s</w:t>
      </w:r>
      <w:r>
        <w:t xml:space="preserve"> are</w:t>
      </w:r>
    </w:p>
    <w:p w:rsidR="00E17BF3" w:rsidRPr="000D2DE9" w:rsidRDefault="00E17BF3" w:rsidP="00A20390">
      <w:pPr>
        <w:pStyle w:val="bullet"/>
      </w:pPr>
      <w:r w:rsidRPr="000D2DE9">
        <w:t>NMC 1. Proper operations and regular maintenance programs for the CSS and CSO outfalls.</w:t>
      </w:r>
    </w:p>
    <w:p w:rsidR="0062037C" w:rsidRDefault="00E17BF3" w:rsidP="00A20390">
      <w:pPr>
        <w:pStyle w:val="bullet"/>
      </w:pPr>
      <w:r>
        <w:t>NMC 2. Maximum use of the CSS for storage</w:t>
      </w:r>
      <w:r w:rsidR="0062037C">
        <w:t>.</w:t>
      </w:r>
    </w:p>
    <w:p w:rsidR="00E17BF3" w:rsidRDefault="00E17BF3" w:rsidP="00A20390">
      <w:pPr>
        <w:pStyle w:val="bullet"/>
      </w:pPr>
      <w:r>
        <w:t xml:space="preserve">NMC 3. Review and modification of pretreatment requirements to ensure CSO </w:t>
      </w:r>
      <w:r w:rsidR="005B40DF">
        <w:t>effe</w:t>
      </w:r>
      <w:r>
        <w:t>cts are minimized.</w:t>
      </w:r>
    </w:p>
    <w:p w:rsidR="00E17BF3" w:rsidRDefault="00E17BF3" w:rsidP="00A20390">
      <w:pPr>
        <w:pStyle w:val="bullet"/>
      </w:pPr>
      <w:r>
        <w:t>NMC 4. Maximizing flow to the publicly</w:t>
      </w:r>
      <w:r w:rsidR="005B40DF">
        <w:t xml:space="preserve"> </w:t>
      </w:r>
      <w:r>
        <w:t>owned treatment works (POTW) for treatment.</w:t>
      </w:r>
    </w:p>
    <w:p w:rsidR="0062037C" w:rsidRDefault="00E17BF3" w:rsidP="00A20390">
      <w:pPr>
        <w:pStyle w:val="bullet"/>
      </w:pPr>
      <w:r>
        <w:t>NMC 5. Prohibition of CSOs during dry weather</w:t>
      </w:r>
      <w:r w:rsidR="0062037C">
        <w:t>.</w:t>
      </w:r>
    </w:p>
    <w:p w:rsidR="00E17BF3" w:rsidRDefault="00E17BF3" w:rsidP="00A20390">
      <w:pPr>
        <w:pStyle w:val="bullet"/>
      </w:pPr>
      <w:r>
        <w:t>NMC 6. Control of solid and floatable materials in CSOs.</w:t>
      </w:r>
    </w:p>
    <w:p w:rsidR="00E17BF3" w:rsidRDefault="00E17BF3" w:rsidP="00A20390">
      <w:pPr>
        <w:pStyle w:val="bullet"/>
      </w:pPr>
      <w:r>
        <w:t>NMC 7. Pollution prevention</w:t>
      </w:r>
    </w:p>
    <w:p w:rsidR="00E17BF3" w:rsidRDefault="00E17BF3" w:rsidP="00A20390">
      <w:pPr>
        <w:pStyle w:val="bullet"/>
      </w:pPr>
      <w:r>
        <w:t>NMC 8. Public notification to ensure that the public receives adequate notification of CSO occurrences and CSO impacts.</w:t>
      </w:r>
    </w:p>
    <w:p w:rsidR="0062037C" w:rsidRDefault="00E17BF3" w:rsidP="00A20390">
      <w:pPr>
        <w:pStyle w:val="bullet"/>
      </w:pPr>
      <w:r>
        <w:t xml:space="preserve">NMC 9. Monitoring to effectively characterize CSO </w:t>
      </w:r>
      <w:r>
        <w:t>impacts and the efficacy of CSO controls</w:t>
      </w:r>
      <w:r w:rsidR="0062037C">
        <w:t>.</w:t>
      </w:r>
    </w:p>
    <w:p w:rsidR="00E17BF3" w:rsidRDefault="00E17BF3" w:rsidP="00FA6577">
      <w:pPr>
        <w:pStyle w:val="BodyText"/>
      </w:pPr>
      <w:r w:rsidRPr="00A64758">
        <w:rPr>
          <w:rStyle w:val="Bold"/>
        </w:rPr>
        <w:t>Line 5 – NMC.</w:t>
      </w:r>
      <w:r>
        <w:t xml:space="preserve"> Permittees can attach previously submitted documentation on NMC implementation, or they can use Schedule 1</w:t>
      </w:r>
      <w:r w:rsidR="005B40DF" w:rsidRPr="005B40DF">
        <w:t xml:space="preserve"> – </w:t>
      </w:r>
      <w:r>
        <w:t>NMC to document NMC activities. Please check the appropriate box on Line 5 to indicate how documentation of NMC implementation is provided.</w:t>
      </w:r>
    </w:p>
    <w:p w:rsidR="00E17BF3" w:rsidRDefault="00E17BF3" w:rsidP="00FA6577">
      <w:pPr>
        <w:pStyle w:val="BodyText"/>
      </w:pPr>
      <w:r>
        <w:t>If Schedule 1</w:t>
      </w:r>
      <w:r w:rsidRPr="005B40DF">
        <w:t xml:space="preserve"> </w:t>
      </w:r>
      <w:r w:rsidRPr="005B40DF">
        <w:rPr>
          <w:bCs/>
        </w:rPr>
        <w:t>–</w:t>
      </w:r>
      <w:r w:rsidRPr="005B40DF">
        <w:t xml:space="preserve"> </w:t>
      </w:r>
      <w:r>
        <w:t>NMC is used, please document the activities taken to implement the NMC. Documentation should include information that demonstrates</w:t>
      </w:r>
    </w:p>
    <w:p w:rsidR="00E17BF3" w:rsidRDefault="00E17BF3" w:rsidP="00A20390">
      <w:pPr>
        <w:pStyle w:val="bullet"/>
      </w:pPr>
      <w:r>
        <w:t>The alternatives considered for each minimum control</w:t>
      </w:r>
    </w:p>
    <w:p w:rsidR="00E17BF3" w:rsidRDefault="00E17BF3" w:rsidP="00A20390">
      <w:pPr>
        <w:pStyle w:val="bullet"/>
      </w:pPr>
      <w:r>
        <w:t>The actions selected and the reasons for their selection</w:t>
      </w:r>
    </w:p>
    <w:p w:rsidR="00E17BF3" w:rsidRDefault="00E17BF3" w:rsidP="00A20390">
      <w:pPr>
        <w:pStyle w:val="bullet"/>
      </w:pPr>
      <w:r>
        <w:t>The selected actions already implemented</w:t>
      </w:r>
    </w:p>
    <w:p w:rsidR="00E17BF3" w:rsidRDefault="00E17BF3" w:rsidP="00A20390">
      <w:pPr>
        <w:pStyle w:val="bullet"/>
      </w:pPr>
      <w:r>
        <w:t>A schedule showing additional steps to be taken</w:t>
      </w:r>
    </w:p>
    <w:p w:rsidR="00E17BF3" w:rsidRDefault="00E17BF3" w:rsidP="00A20390">
      <w:pPr>
        <w:pStyle w:val="bullet"/>
      </w:pPr>
      <w:r>
        <w:t>The effectiveness of the minimum controls in reducing/eliminating water quality impacts (in reducing the volume, frequency, and impact of CSOs)</w:t>
      </w:r>
    </w:p>
    <w:p w:rsidR="00E17BF3" w:rsidRDefault="00E0604A" w:rsidP="00FA6577">
      <w:pPr>
        <w:pStyle w:val="BodyText"/>
      </w:pPr>
      <w:r>
        <w:t>If no activities have been undertaken for a particular NMC, l</w:t>
      </w:r>
      <w:r w:rsidR="00E17BF3">
        <w:t xml:space="preserve">eave the description blank. </w:t>
      </w:r>
      <w:r w:rsidR="00BA3C41">
        <w:t>For examples of NMC activities and for further guidance on NMC documentation, s</w:t>
      </w:r>
      <w:r w:rsidR="00E17BF3">
        <w:t xml:space="preserve">ee </w:t>
      </w:r>
      <w:r w:rsidR="00E17BF3" w:rsidRPr="00FA6577">
        <w:rPr>
          <w:rStyle w:val="italic"/>
        </w:rPr>
        <w:t xml:space="preserve">Combined Sewer Overflows Guidance for Nine Minimum Controls </w:t>
      </w:r>
      <w:r w:rsidR="00E17BF3" w:rsidRPr="0017079F">
        <w:t xml:space="preserve">(EPA </w:t>
      </w:r>
      <w:r w:rsidR="00EE54DE" w:rsidRPr="0017079F">
        <w:t>1995</w:t>
      </w:r>
      <w:r w:rsidR="008A1922">
        <w:t>b)</w:t>
      </w:r>
      <w:r w:rsidR="00E17BF3" w:rsidRPr="00FA6577">
        <w:rPr>
          <w:rStyle w:val="italic"/>
        </w:rPr>
        <w:t xml:space="preserve"> </w:t>
      </w:r>
      <w:r w:rsidR="00E17BF3" w:rsidRPr="0017079F">
        <w:t>for examples of NMC activities and for further guidance on NMC documentation</w:t>
      </w:r>
      <w:r w:rsidR="008A1922">
        <w:t>.</w:t>
      </w:r>
    </w:p>
    <w:p w:rsidR="00E17BF3" w:rsidRDefault="00E17BF3" w:rsidP="003859D2">
      <w:pPr>
        <w:pStyle w:val="Heading2"/>
      </w:pPr>
      <w:bookmarkStart w:id="32" w:name="_Toc127078219"/>
      <w:bookmarkStart w:id="33" w:name="_Toc243725233"/>
      <w:bookmarkStart w:id="34" w:name="_Toc243809410"/>
      <w:bookmarkStart w:id="35" w:name="_Toc285015571"/>
      <w:r>
        <w:t>Sensitive Areas</w:t>
      </w:r>
      <w:bookmarkEnd w:id="32"/>
      <w:bookmarkEnd w:id="33"/>
      <w:bookmarkEnd w:id="34"/>
      <w:bookmarkEnd w:id="35"/>
    </w:p>
    <w:p w:rsidR="00E17BF3" w:rsidRDefault="00E17BF3" w:rsidP="00FA6577">
      <w:pPr>
        <w:pStyle w:val="BodyText"/>
      </w:pPr>
      <w:r>
        <w:t xml:space="preserve">Permittees are expected to give the highest priority to controlling CSOs </w:t>
      </w:r>
      <w:r w:rsidR="0021529E">
        <w:t>in</w:t>
      </w:r>
      <w:r>
        <w:t xml:space="preserve"> sensitive areas </w:t>
      </w:r>
      <w:r>
        <w:rPr>
          <w:bCs/>
          <w:iCs/>
        </w:rPr>
        <w:t>(CSO Control Policy Section II.C.3)</w:t>
      </w:r>
      <w:r w:rsidR="00E0604A">
        <w:rPr>
          <w:bCs/>
          <w:iCs/>
        </w:rPr>
        <w:t>.</w:t>
      </w:r>
      <w:r>
        <w:rPr>
          <w:b/>
          <w:bCs/>
          <w:i/>
          <w:iCs/>
        </w:rPr>
        <w:t xml:space="preserve"> </w:t>
      </w:r>
      <w:r>
        <w:t xml:space="preserve">Permittees should identify all </w:t>
      </w:r>
      <w:r>
        <w:lastRenderedPageBreak/>
        <w:t xml:space="preserve">sensitive waterbodies and the CSO outfalls that discharge to them. </w:t>
      </w:r>
      <w:r w:rsidR="00E0604A">
        <w:t>I</w:t>
      </w:r>
      <w:r>
        <w:t>dentif</w:t>
      </w:r>
      <w:r w:rsidR="00E0604A">
        <w:t>ying</w:t>
      </w:r>
      <w:r>
        <w:t xml:space="preserve"> sensitive areas can direct the selection of CSO control alternatives. In accordance with the CSO Control Policy, the LTCP should give the highest priority to the prohibition of new or significantly increased overflow</w:t>
      </w:r>
      <w:r w:rsidR="0021529E">
        <w:t>s</w:t>
      </w:r>
      <w:r>
        <w:t xml:space="preserve"> (whether treated or untreated) to designated sensitive areas.</w:t>
      </w:r>
    </w:p>
    <w:p w:rsidR="00E17BF3" w:rsidRDefault="00E17BF3" w:rsidP="00FA6577">
      <w:pPr>
        <w:pStyle w:val="BodyText"/>
      </w:pPr>
      <w:r>
        <w:t>Sensitive areas, as identified in the CSO Control Policy, include</w:t>
      </w:r>
      <w:r w:rsidR="005C6A32">
        <w:t xml:space="preserve"> the following</w:t>
      </w:r>
      <w:r>
        <w:t>:</w:t>
      </w:r>
    </w:p>
    <w:p w:rsidR="0062037C" w:rsidRDefault="00E17BF3" w:rsidP="00A20390">
      <w:pPr>
        <w:pStyle w:val="bullet"/>
      </w:pPr>
      <w:r w:rsidRPr="00FA6577">
        <w:rPr>
          <w:rStyle w:val="Bold"/>
        </w:rPr>
        <w:t>Outstanding National Resource Waters.</w:t>
      </w:r>
      <w:r>
        <w:t xml:space="preserve"> These are waters that have been designated by some (but not all) states</w:t>
      </w:r>
      <w:r w:rsidR="005C6A32">
        <w:t>,</w:t>
      </w:r>
      <w:r>
        <w:t xml:space="preserve"> “[w]here high quality waters constitute an outstanding National resource, such as waters of National Parks, State parks and wildlife refuges, and waters of exceptional recreational or ecological significance, that water quality shall be maintained and protected” (</w:t>
      </w:r>
      <w:r w:rsidR="005C6A32">
        <w:t xml:space="preserve">Title </w:t>
      </w:r>
      <w:r>
        <w:t xml:space="preserve">40 </w:t>
      </w:r>
      <w:r w:rsidR="005C6A32">
        <w:t xml:space="preserve">of the </w:t>
      </w:r>
      <w:r w:rsidR="005C6A32" w:rsidRPr="005C6A32">
        <w:rPr>
          <w:i/>
        </w:rPr>
        <w:t>Code of Federal Regulations</w:t>
      </w:r>
      <w:r w:rsidR="005C6A32">
        <w:t xml:space="preserve"> [</w:t>
      </w:r>
      <w:r>
        <w:t>CFR</w:t>
      </w:r>
      <w:r w:rsidR="005C6A32">
        <w:t>]</w:t>
      </w:r>
      <w:r>
        <w:t xml:space="preserve"> 122.12(a)(3)). Tier III Waters and Class A Waters are sometimes designate</w:t>
      </w:r>
      <w:r w:rsidR="00005030">
        <w:t>d</w:t>
      </w:r>
      <w:r>
        <w:t xml:space="preserve"> Outstanding National Resource Waters. State water quality standards authorities are the best source of information on the presence of identified Outstanding National Resource Waters</w:t>
      </w:r>
      <w:r w:rsidR="0062037C">
        <w:t>.</w:t>
      </w:r>
    </w:p>
    <w:p w:rsidR="00E17BF3" w:rsidRDefault="00E17BF3" w:rsidP="00A20390">
      <w:pPr>
        <w:pStyle w:val="bullet"/>
      </w:pPr>
      <w:r w:rsidRPr="00FA6577">
        <w:rPr>
          <w:rStyle w:val="Bold"/>
        </w:rPr>
        <w:t>National Marine Sanctuaries.</w:t>
      </w:r>
      <w:r>
        <w:t xml:space="preserve"> The National Oceanic and Atmospheric Administration (NOAA) is the trustee for the nation's system of marine protected areas, to conserve, protect, and enhance their biodiversity, ecological integrity and cultural legacy. Information on the location of </w:t>
      </w:r>
      <w:r>
        <w:t xml:space="preserve">National Marine Sanctuaries </w:t>
      </w:r>
      <w:r w:rsidR="005C6A32">
        <w:t>are</w:t>
      </w:r>
      <w:r>
        <w:t xml:space="preserve"> at </w:t>
      </w:r>
      <w:hyperlink r:id="rId36" w:history="1">
        <w:r>
          <w:rPr>
            <w:rStyle w:val="Hyperlink"/>
            <w:color w:val="auto"/>
          </w:rPr>
          <w:t xml:space="preserve"> http://sanctuaries.noaa.gov/</w:t>
        </w:r>
        <w:r>
          <w:rPr>
            <w:rStyle w:val="Hyperlink"/>
            <w:color w:val="auto"/>
            <w:u w:val="none"/>
          </w:rPr>
          <w:t>.</w:t>
        </w:r>
        <w:r>
          <w:rPr>
            <w:rStyle w:val="Hyperlink"/>
          </w:rPr>
          <w:t xml:space="preserve"> </w:t>
        </w:r>
      </w:hyperlink>
    </w:p>
    <w:p w:rsidR="00E17BF3" w:rsidRDefault="00E17BF3" w:rsidP="00A20390">
      <w:pPr>
        <w:pStyle w:val="bullet"/>
      </w:pPr>
      <w:r w:rsidRPr="00FA6577">
        <w:rPr>
          <w:rStyle w:val="Bold"/>
        </w:rPr>
        <w:t>Waters with Threatened or Endangered Species and their Habitat.</w:t>
      </w:r>
      <w:r>
        <w:t xml:space="preserve"> Information on threatened and endangered species can be identified by contacting the Fish and Wildlife Service (FWS), NOAA Fisheries, or </w:t>
      </w:r>
      <w:r w:rsidR="005C6A32">
        <w:t>s</w:t>
      </w:r>
      <w:r>
        <w:t xml:space="preserve">tate or </w:t>
      </w:r>
      <w:r w:rsidR="005C6A32">
        <w:t>t</w:t>
      </w:r>
      <w:r>
        <w:t xml:space="preserve">ribal </w:t>
      </w:r>
      <w:r w:rsidR="005C6A32">
        <w:t>h</w:t>
      </w:r>
      <w:r>
        <w:t xml:space="preserve">eritage </w:t>
      </w:r>
      <w:r w:rsidR="005C6A32">
        <w:t>c</w:t>
      </w:r>
      <w:r>
        <w:t xml:space="preserve">enter or by checking resources such as the FWS </w:t>
      </w:r>
      <w:r w:rsidR="005C6A32">
        <w:t>W</w:t>
      </w:r>
      <w:r>
        <w:t>eb</w:t>
      </w:r>
      <w:r w:rsidR="005C6A32">
        <w:t xml:space="preserve"> </w:t>
      </w:r>
      <w:r>
        <w:t xml:space="preserve">site at </w:t>
      </w:r>
      <w:hyperlink r:id="rId37" w:history="1">
        <w:r>
          <w:rPr>
            <w:rStyle w:val="Hyperlink"/>
            <w:color w:val="auto"/>
          </w:rPr>
          <w:t>http://www.fws.gov/</w:t>
        </w:r>
        <w:r>
          <w:rPr>
            <w:rStyle w:val="Hyperlink"/>
            <w:color w:val="auto"/>
          </w:rPr>
          <w:br/>
          <w:t>endangered/wildlife.html</w:t>
        </w:r>
      </w:hyperlink>
      <w:r>
        <w:t xml:space="preserve">. If species </w:t>
      </w:r>
      <w:r w:rsidR="005C6A32">
        <w:t xml:space="preserve">are listed </w:t>
      </w:r>
      <w:r>
        <w:t>in the area, contact the appropriate local agency to determine if the listed species could be affected or if any critical habitat areas have been designated in waterbodies that receive CSO discharges.</w:t>
      </w:r>
    </w:p>
    <w:p w:rsidR="0062037C" w:rsidRDefault="00E17BF3" w:rsidP="00A20390">
      <w:pPr>
        <w:pStyle w:val="bullet"/>
      </w:pPr>
      <w:r w:rsidRPr="00FA6577">
        <w:rPr>
          <w:rStyle w:val="Bold"/>
        </w:rPr>
        <w:t>Waters with Primary Contact Recreation</w:t>
      </w:r>
      <w:r>
        <w:t>: State water quality standards authorities are the best source of information on the location of waters designated for primary contact recreation</w:t>
      </w:r>
      <w:r w:rsidR="0062037C">
        <w:t>.</w:t>
      </w:r>
    </w:p>
    <w:p w:rsidR="00E17BF3" w:rsidRDefault="00E17BF3" w:rsidP="00A20390">
      <w:pPr>
        <w:pStyle w:val="bullet"/>
      </w:pPr>
      <w:r w:rsidRPr="00FA6577">
        <w:rPr>
          <w:rStyle w:val="Bold"/>
        </w:rPr>
        <w:t xml:space="preserve">Public Drinking Water Intakes or their Designated Protection Areas. </w:t>
      </w:r>
      <w:r>
        <w:t xml:space="preserve">State water quality standards and water supply authorities are the best source of information on the location of public drinking water intakes or their designated protection areas. EPA’s </w:t>
      </w:r>
      <w:r w:rsidRPr="005C6A32">
        <w:rPr>
          <w:i/>
          <w:iCs/>
        </w:rPr>
        <w:t>Report to Congress</w:t>
      </w:r>
      <w:r w:rsidR="005C6A32" w:rsidRPr="005C6A32">
        <w:rPr>
          <w:bCs/>
          <w:iCs/>
        </w:rPr>
        <w:t>—</w:t>
      </w:r>
      <w:r w:rsidRPr="005C6A32">
        <w:rPr>
          <w:i/>
          <w:iCs/>
        </w:rPr>
        <w:t>Impacts and Control of CSOs and SSOs</w:t>
      </w:r>
      <w:r>
        <w:t xml:space="preserve"> identifie</w:t>
      </w:r>
      <w:r w:rsidR="005C6A32">
        <w:t>s</w:t>
      </w:r>
      <w:r>
        <w:t xml:space="preserve"> 59 CSO outfalls in seven states within one mile upstream of a drinking water intake (</w:t>
      </w:r>
      <w:r w:rsidR="005C6A32">
        <w:t>US</w:t>
      </w:r>
      <w:r>
        <w:t>EPA 2004).</w:t>
      </w:r>
    </w:p>
    <w:p w:rsidR="00E17BF3" w:rsidRDefault="00E17BF3" w:rsidP="00A20390">
      <w:pPr>
        <w:pStyle w:val="bullet"/>
      </w:pPr>
      <w:r w:rsidRPr="00FA6577">
        <w:rPr>
          <w:rStyle w:val="Bold"/>
        </w:rPr>
        <w:t>Shellfish Beds.</w:t>
      </w:r>
      <w:r>
        <w:t xml:space="preserve"> Shellfish harvesting can be a designated use of a waterbody. State water quality standards authorities are a good source of </w:t>
      </w:r>
      <w:r>
        <w:t xml:space="preserve">information on the location of waterbodies that are protected for shellfish harvesting. In addition, the National Shellfish Register of Classified Estuarine Waters provides a detailed analysis of the shellfish growing areas in coastal waters of the </w:t>
      </w:r>
      <w:smartTag w:uri="urn:schemas-microsoft-com:office:smarttags" w:element="place">
        <w:smartTag w:uri="urn:schemas-microsoft-com:office:smarttags" w:element="country-region">
          <w:r>
            <w:t>United States</w:t>
          </w:r>
        </w:smartTag>
      </w:smartTag>
      <w:r>
        <w:t xml:space="preserve">. Information on the location of shellfish beds </w:t>
      </w:r>
      <w:r w:rsidR="005C6A32">
        <w:t>is</w:t>
      </w:r>
      <w:r>
        <w:t xml:space="preserve"> at </w:t>
      </w:r>
      <w:r>
        <w:rPr>
          <w:u w:val="single"/>
        </w:rPr>
        <w:t>http://gcmd.nasa.gov/</w:t>
      </w:r>
      <w:r>
        <w:rPr>
          <w:u w:val="single"/>
        </w:rPr>
        <w:br/>
        <w:t>records/GCMD_NOS00039.</w:t>
      </w:r>
      <w:r>
        <w:br w:type="textWrapping" w:clear="all"/>
      </w:r>
      <w:r>
        <w:rPr>
          <w:u w:val="single"/>
        </w:rPr>
        <w:t>html</w:t>
      </w:r>
      <w:r>
        <w:t>.</w:t>
      </w:r>
    </w:p>
    <w:p w:rsidR="0062037C" w:rsidRDefault="005C6A32" w:rsidP="00FA6577">
      <w:pPr>
        <w:pStyle w:val="BodyText"/>
      </w:pPr>
      <w:r>
        <w:t>T</w:t>
      </w:r>
      <w:r w:rsidR="00E17BF3">
        <w:t>o determine if sensitive areas are present in the area of the CSO</w:t>
      </w:r>
      <w:r>
        <w:t>, contact the appropriate state and federal agencies</w:t>
      </w:r>
      <w:r w:rsidR="00E17BF3">
        <w:t xml:space="preserve">. EPA recommends that the permittee attach </w:t>
      </w:r>
      <w:r>
        <w:t xml:space="preserve">to the Green LTCP-EZ Template forms </w:t>
      </w:r>
      <w:r w:rsidR="00E17BF3">
        <w:t xml:space="preserve">all documentation of research regarding sensitive areas or contacts with agencies providing that information (including research on agency </w:t>
      </w:r>
      <w:r>
        <w:t>W</w:t>
      </w:r>
      <w:r w:rsidR="00E17BF3">
        <w:t>eb</w:t>
      </w:r>
      <w:r>
        <w:t xml:space="preserve"> </w:t>
      </w:r>
      <w:r w:rsidR="00E17BF3">
        <w:t xml:space="preserve">sites). In addition, </w:t>
      </w:r>
      <w:r>
        <w:t xml:space="preserve">EPA encourages </w:t>
      </w:r>
      <w:r w:rsidR="00E17BF3">
        <w:t>the permittee to attach maps or other materials that provide backup information regarding the evaluation of sensitive areas</w:t>
      </w:r>
      <w:r w:rsidR="0062037C">
        <w:t>.</w:t>
      </w:r>
    </w:p>
    <w:p w:rsidR="00E17BF3" w:rsidRDefault="00E17BF3" w:rsidP="00FA6577">
      <w:pPr>
        <w:pStyle w:val="BodyText"/>
      </w:pPr>
      <w:r w:rsidRPr="00A64758">
        <w:rPr>
          <w:rStyle w:val="Bold"/>
        </w:rPr>
        <w:t>Line 6a –</w:t>
      </w:r>
      <w:r>
        <w:t xml:space="preserve"> Indicate if sensitive areas are present. Answer Yes or No. If sensitive areas are present, proceed to Line 6b and answer questions 6b, 6c, and 6d. Also provide an explanation of how the determination was made that sensitive areas are present. If sensitive areas are not present, proceed to Line 7.</w:t>
      </w:r>
      <w:r w:rsidR="00005030">
        <w:t xml:space="preserve"> If sensitive areas are not present, provide an explanation of how the determination was made.</w:t>
      </w:r>
    </w:p>
    <w:p w:rsidR="00E17BF3" w:rsidRDefault="00E17BF3" w:rsidP="00FA6577">
      <w:pPr>
        <w:pStyle w:val="BodyText"/>
      </w:pPr>
      <w:r w:rsidRPr="00A64758">
        <w:rPr>
          <w:rStyle w:val="Bold"/>
        </w:rPr>
        <w:t>Line 6b –</w:t>
      </w:r>
      <w:r>
        <w:t xml:space="preserve"> Enter the type(s) of sensitive areas present (e.g., public beach, drinking water intake) for each CSO receiving water.</w:t>
      </w:r>
    </w:p>
    <w:p w:rsidR="00E17BF3" w:rsidRDefault="00E17BF3" w:rsidP="00FA6577">
      <w:pPr>
        <w:pStyle w:val="BodyText"/>
      </w:pPr>
      <w:r w:rsidRPr="00A64758">
        <w:rPr>
          <w:rStyle w:val="Bold"/>
        </w:rPr>
        <w:t>Line 6c –</w:t>
      </w:r>
      <w:r>
        <w:t xml:space="preserve"> List the permitted CSO outfall(s) that </w:t>
      </w:r>
      <w:r w:rsidR="005C6A32">
        <w:t xml:space="preserve">could </w:t>
      </w:r>
      <w:r>
        <w:t xml:space="preserve">be </w:t>
      </w:r>
      <w:r w:rsidR="005C6A32">
        <w:t>affe</w:t>
      </w:r>
      <w:r>
        <w:t xml:space="preserve">cting the sensitive areas. Add detail on impacts where </w:t>
      </w:r>
      <w:r>
        <w:lastRenderedPageBreak/>
        <w:t>available (e.g., CSO outfall is within a sensitive area, beach closures have occurred due to overflows.).</w:t>
      </w:r>
    </w:p>
    <w:p w:rsidR="00E17BF3" w:rsidRDefault="00E17BF3" w:rsidP="00FA6577">
      <w:pPr>
        <w:pStyle w:val="BodyText"/>
      </w:pPr>
      <w:r w:rsidRPr="00A64758">
        <w:rPr>
          <w:rStyle w:val="Bold"/>
        </w:rPr>
        <w:t xml:space="preserve">Line 6d – </w:t>
      </w:r>
      <w:r>
        <w:t xml:space="preserve">Are sensitive areas </w:t>
      </w:r>
      <w:r w:rsidR="005C6A32">
        <w:t>affe</w:t>
      </w:r>
      <w:r>
        <w:t>cted by CSO discharges? Answer Yes or No</w:t>
      </w:r>
      <w:r w:rsidR="0043213D">
        <w:t xml:space="preserve">. </w:t>
      </w:r>
      <w:r>
        <w:t xml:space="preserve">If sensitive areas are present but not </w:t>
      </w:r>
      <w:r w:rsidR="005C6A32">
        <w:t>affe</w:t>
      </w:r>
      <w:r>
        <w:t>cted by CSO discharges, provide documentation on how the determination was made and proceed to Line 7.</w:t>
      </w:r>
    </w:p>
    <w:p w:rsidR="0062037C" w:rsidRDefault="00726551" w:rsidP="00FA6577">
      <w:pPr>
        <w:pStyle w:val="BodyText"/>
      </w:pPr>
      <w:r>
        <w:rPr>
          <w:noProof/>
        </w:rPr>
        <w:drawing>
          <wp:anchor distT="0" distB="0" distL="114300" distR="114300" simplePos="0" relativeHeight="251635200" behindDoc="1" locked="0" layoutInCell="1" allowOverlap="1">
            <wp:simplePos x="0" y="0"/>
            <wp:positionH relativeFrom="column">
              <wp:posOffset>38100</wp:posOffset>
            </wp:positionH>
            <wp:positionV relativeFrom="paragraph">
              <wp:posOffset>58420</wp:posOffset>
            </wp:positionV>
            <wp:extent cx="343535" cy="343535"/>
            <wp:effectExtent l="19050" t="0" r="0" b="0"/>
            <wp:wrapTight wrapText="bothSides">
              <wp:wrapPolygon edited="0">
                <wp:start x="2396" y="0"/>
                <wp:lineTo x="-1198" y="4791"/>
                <wp:lineTo x="-1198" y="14373"/>
                <wp:lineTo x="2396" y="19165"/>
                <wp:lineTo x="16769" y="19165"/>
                <wp:lineTo x="16769" y="19165"/>
                <wp:lineTo x="20362" y="14373"/>
                <wp:lineTo x="20362" y="4791"/>
                <wp:lineTo x="16769" y="0"/>
                <wp:lineTo x="2396" y="0"/>
              </wp:wrapPolygon>
            </wp:wrapTight>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343535" cy="343535"/>
                    </a:xfrm>
                    <a:prstGeom prst="rect">
                      <a:avLst/>
                    </a:prstGeom>
                    <a:noFill/>
                    <a:ln w="9525">
                      <a:noFill/>
                      <a:miter lim="800000"/>
                      <a:headEnd/>
                      <a:tailEnd/>
                    </a:ln>
                  </pic:spPr>
                </pic:pic>
              </a:graphicData>
            </a:graphic>
          </wp:anchor>
        </w:drawing>
      </w:r>
      <w:r w:rsidR="00E17BF3">
        <w:t>More detailed study m</w:t>
      </w:r>
      <w:r w:rsidR="005C6A32">
        <w:t>ight</w:t>
      </w:r>
      <w:r w:rsidR="00E17BF3">
        <w:t xml:space="preserve"> be necessary if sensitive areas are present </w:t>
      </w:r>
      <w:r w:rsidR="00E17BF3" w:rsidRPr="00FA6577">
        <w:rPr>
          <w:rStyle w:val="italic"/>
        </w:rPr>
        <w:t>and</w:t>
      </w:r>
      <w:r w:rsidR="00E17BF3">
        <w:t xml:space="preserve"> are </w:t>
      </w:r>
      <w:r w:rsidR="005C6A32">
        <w:t>affe</w:t>
      </w:r>
      <w:r w:rsidR="00E17BF3">
        <w:t xml:space="preserve">cted by CSO discharges. Under </w:t>
      </w:r>
      <w:r w:rsidR="005C6A32">
        <w:t xml:space="preserve">such </w:t>
      </w:r>
      <w:r w:rsidR="00E17BF3">
        <w:t xml:space="preserve">circumstances, use of the presumption approach in the </w:t>
      </w:r>
      <w:r w:rsidR="00FF476A">
        <w:t xml:space="preserve">Green </w:t>
      </w:r>
      <w:r w:rsidR="00E17BF3">
        <w:t>LTCP-EZ Template m</w:t>
      </w:r>
      <w:r w:rsidR="005C6A32">
        <w:t>ight</w:t>
      </w:r>
      <w:r w:rsidR="00E17BF3">
        <w:t xml:space="preserve"> not be appropriate. The permittee should contact the permitting authority for further instructions on use of the </w:t>
      </w:r>
      <w:r w:rsidR="00FF476A">
        <w:t xml:space="preserve">Green </w:t>
      </w:r>
      <w:r w:rsidR="00E17BF3">
        <w:t>LTCP-EZ Template and the presumption approach</w:t>
      </w:r>
      <w:r w:rsidR="0062037C">
        <w:t>.</w:t>
      </w:r>
    </w:p>
    <w:p w:rsidR="00E17BF3" w:rsidRDefault="00E17BF3" w:rsidP="003859D2">
      <w:pPr>
        <w:pStyle w:val="Heading2"/>
      </w:pPr>
      <w:bookmarkStart w:id="36" w:name="_Toc127078221"/>
      <w:bookmarkStart w:id="37" w:name="_Toc243725234"/>
      <w:bookmarkStart w:id="38" w:name="_Toc243809411"/>
      <w:bookmarkStart w:id="39" w:name="_Toc285015572"/>
      <w:r>
        <w:t>Water Quality Considerations</w:t>
      </w:r>
      <w:bookmarkEnd w:id="36"/>
      <w:bookmarkEnd w:id="37"/>
      <w:bookmarkEnd w:id="38"/>
      <w:bookmarkEnd w:id="39"/>
    </w:p>
    <w:p w:rsidR="0062037C" w:rsidRDefault="00E17BF3" w:rsidP="00FA6577">
      <w:pPr>
        <w:pStyle w:val="BodyText"/>
      </w:pPr>
      <w:r>
        <w:t>The main impetus for implement</w:t>
      </w:r>
      <w:r w:rsidR="005C6A32">
        <w:t>ing</w:t>
      </w:r>
      <w:r>
        <w:t xml:space="preserve"> CSO controls is attainment of water quality standards, including designated uses. Permittees are expected to be knowledgeable about water quality conditions in local waterbodies that receive CSO discharges. At a minimum, permittees should check to see if the local waterbodies have been assessed under the 305(b) program by the state water quality standards agency as being </w:t>
      </w:r>
      <w:r w:rsidRPr="00FA6577">
        <w:rPr>
          <w:rStyle w:val="italic"/>
        </w:rPr>
        <w:t>good</w:t>
      </w:r>
      <w:r>
        <w:t xml:space="preserve">, </w:t>
      </w:r>
      <w:r w:rsidRPr="00FA6577">
        <w:rPr>
          <w:rStyle w:val="italic"/>
        </w:rPr>
        <w:t>threatened</w:t>
      </w:r>
      <w:r>
        <w:t xml:space="preserve"> or </w:t>
      </w:r>
      <w:r w:rsidRPr="00FA6577">
        <w:rPr>
          <w:rStyle w:val="italic"/>
        </w:rPr>
        <w:t>impaired</w:t>
      </w:r>
      <w:r w:rsidR="0062037C">
        <w:t>.</w:t>
      </w:r>
    </w:p>
    <w:p w:rsidR="0062037C" w:rsidRDefault="00E17BF3" w:rsidP="00B64EF9">
      <w:pPr>
        <w:pStyle w:val="BodyText"/>
      </w:pPr>
      <w:r>
        <w:t xml:space="preserve">Waters designated as impaired are included on a state’s 303(d) list. A total maximum daily load (TMDL) is required for each pollutant causing impairment. EPA’s </w:t>
      </w:r>
      <w:r w:rsidRPr="00FA6577">
        <w:rPr>
          <w:rStyle w:val="italic"/>
        </w:rPr>
        <w:t xml:space="preserve">Report to Congress </w:t>
      </w:r>
      <w:r w:rsidRPr="005C6A32">
        <w:rPr>
          <w:bCs/>
          <w:iCs/>
        </w:rPr>
        <w:t xml:space="preserve">– </w:t>
      </w:r>
      <w:r w:rsidRPr="00FA6577">
        <w:rPr>
          <w:rStyle w:val="italic"/>
        </w:rPr>
        <w:t xml:space="preserve">Impacts and Control of CSOs and SSOs </w:t>
      </w:r>
      <w:r w:rsidRPr="0017079F">
        <w:t xml:space="preserve">(EPA </w:t>
      </w:r>
      <w:r w:rsidR="00311E3A">
        <w:t>2004</w:t>
      </w:r>
      <w:r w:rsidRPr="0017079F">
        <w:t>) identifie</w:t>
      </w:r>
      <w:r w:rsidR="005C6A32" w:rsidRPr="0017079F">
        <w:t>s</w:t>
      </w:r>
      <w:r w:rsidRPr="0017079F">
        <w:t xml:space="preserve"> t</w:t>
      </w:r>
      <w:r>
        <w:t xml:space="preserve">he three causes of reported </w:t>
      </w:r>
      <w:r>
        <w:t>303(d) impairment most likely to be associated with CSOs:</w:t>
      </w:r>
    </w:p>
    <w:p w:rsidR="0062037C" w:rsidRDefault="00E17BF3" w:rsidP="00EC1D88">
      <w:pPr>
        <w:pStyle w:val="bullet"/>
      </w:pPr>
      <w:r>
        <w:t>Pathogens</w:t>
      </w:r>
    </w:p>
    <w:p w:rsidR="00E17BF3" w:rsidRDefault="00E17BF3" w:rsidP="00EC1D88">
      <w:pPr>
        <w:pStyle w:val="bullet"/>
      </w:pPr>
      <w:r>
        <w:t>Organic enrichment leading to low dissolved oxygen</w:t>
      </w:r>
    </w:p>
    <w:p w:rsidR="0062037C" w:rsidRDefault="00E17BF3" w:rsidP="00EC1D88">
      <w:pPr>
        <w:pStyle w:val="bullet"/>
      </w:pPr>
      <w:r>
        <w:t>Sediment and siltation</w:t>
      </w:r>
    </w:p>
    <w:p w:rsidR="00E17BF3" w:rsidRDefault="00E17BF3" w:rsidP="00FA6577">
      <w:pPr>
        <w:pStyle w:val="BodyText"/>
      </w:pPr>
      <w:r>
        <w:t>Some states identify sources of impairment, and the activities or conditions that generate the pollutants causing impairment (e.g., WWTPs or agricultural runoff). CSOs are tracked as a source of impairment in some but not all CSO states.</w:t>
      </w:r>
    </w:p>
    <w:p w:rsidR="0062037C" w:rsidRDefault="00E17BF3" w:rsidP="00FA6577">
      <w:pPr>
        <w:pStyle w:val="BodyText"/>
      </w:pPr>
      <w:r>
        <w:t>If local waterbodies receiving CSO discharges are impaired, permittees should check with the permitting authority to determine whether the pollutants associated with CSOs are cited as a cause of impairment or if CSOs are listed as a source of impairment. In addition, permittees should check with the permitting authority to see if a TMDL study is scheduled for local waterbodies to determine the allocation of pollutant loads, including pollutant loads in CSO discharges</w:t>
      </w:r>
      <w:r w:rsidR="0062037C">
        <w:t>.</w:t>
      </w:r>
    </w:p>
    <w:p w:rsidR="00E17BF3" w:rsidRDefault="00E17BF3" w:rsidP="00FA6577">
      <w:pPr>
        <w:pStyle w:val="BodyText"/>
      </w:pPr>
      <w:r>
        <w:t xml:space="preserve">The 305(b) water quality assessment information </w:t>
      </w:r>
      <w:r w:rsidR="005C6A32">
        <w:t xml:space="preserve">is </w:t>
      </w:r>
      <w:r>
        <w:t xml:space="preserve">at </w:t>
      </w:r>
      <w:hyperlink r:id="rId39" w:history="1">
        <w:r>
          <w:rPr>
            <w:rStyle w:val="Hyperlink"/>
            <w:color w:val="auto"/>
            <w:szCs w:val="20"/>
          </w:rPr>
          <w:t>http://www.epa.gov/waters/305b/index.html</w:t>
        </w:r>
      </w:hyperlink>
      <w:r>
        <w:t>. Note that not all waters are assessed under state programs.</w:t>
      </w:r>
    </w:p>
    <w:p w:rsidR="00E17BF3" w:rsidRDefault="00E17BF3" w:rsidP="00EC1D88">
      <w:pPr>
        <w:pStyle w:val="BodyText"/>
      </w:pPr>
      <w:r>
        <w:t xml:space="preserve">A national summary on the status of the TMDL program in each state </w:t>
      </w:r>
      <w:r w:rsidR="005C6A32">
        <w:t>is</w:t>
      </w:r>
      <w:r>
        <w:t xml:space="preserve"> at </w:t>
      </w:r>
      <w:hyperlink r:id="rId40" w:history="1">
        <w:r>
          <w:rPr>
            <w:rStyle w:val="Hyperlink"/>
            <w:color w:val="auto"/>
            <w:szCs w:val="20"/>
          </w:rPr>
          <w:t>http://www.epa.gov/owow/</w:t>
        </w:r>
        <w:r>
          <w:rPr>
            <w:rStyle w:val="Hyperlink"/>
            <w:color w:val="auto"/>
            <w:szCs w:val="20"/>
          </w:rPr>
          <w:br/>
          <w:t>tmdl/</w:t>
        </w:r>
      </w:hyperlink>
      <w:r>
        <w:t>. Note that not all waters are listed.</w:t>
      </w:r>
    </w:p>
    <w:p w:rsidR="00E17BF3" w:rsidRDefault="00E17BF3" w:rsidP="00EC1D88">
      <w:pPr>
        <w:pStyle w:val="BodyText"/>
      </w:pPr>
      <w:r w:rsidRPr="00FA6577">
        <w:rPr>
          <w:rStyle w:val="Bold"/>
        </w:rPr>
        <w:t>Line 7a –</w:t>
      </w:r>
      <w:r>
        <w:t xml:space="preserve"> Indicate if local waterbodies are listed by the permitting authority as impaired. Answer Yes or No. If No, the</w:t>
      </w:r>
      <w:r w:rsidR="00EC1D88">
        <w:t xml:space="preserve"> permittee may continue to Line </w:t>
      </w:r>
      <w:r>
        <w:t>8.</w:t>
      </w:r>
    </w:p>
    <w:p w:rsidR="0062037C" w:rsidRDefault="00E17BF3" w:rsidP="00FA6577">
      <w:pPr>
        <w:pStyle w:val="BodyText"/>
      </w:pPr>
      <w:r w:rsidRPr="00A64758">
        <w:rPr>
          <w:rStyle w:val="Bold"/>
        </w:rPr>
        <w:t>Line 7b</w:t>
      </w:r>
      <w:r>
        <w:t xml:space="preserve"> – Indicate the causes or sources of impairment for each impaired waterbody</w:t>
      </w:r>
      <w:r w:rsidR="0062037C">
        <w:t>.</w:t>
      </w:r>
    </w:p>
    <w:p w:rsidR="00E17BF3" w:rsidRPr="00FA6577" w:rsidRDefault="00E17BF3" w:rsidP="002874D8">
      <w:pPr>
        <w:pStyle w:val="BodyText"/>
        <w:rPr>
          <w:rStyle w:val="Bold"/>
        </w:rPr>
      </w:pPr>
      <w:r w:rsidRPr="00FA6577">
        <w:rPr>
          <w:rStyle w:val="Bold"/>
        </w:rPr>
        <w:t>Line 7c</w:t>
      </w:r>
      <w:r>
        <w:t xml:space="preserve"> – Indicate if a TMDL has been scheduled to determine the allocation of pollutant loads. Answer Yes or No. If yes, provide the date.</w:t>
      </w:r>
    </w:p>
    <w:p w:rsidR="0062037C" w:rsidRDefault="00726551" w:rsidP="00FA6577">
      <w:pPr>
        <w:pStyle w:val="BodyText"/>
      </w:pPr>
      <w:r>
        <w:rPr>
          <w:noProof/>
        </w:rPr>
        <w:drawing>
          <wp:anchor distT="0" distB="0" distL="114300" distR="114300" simplePos="0" relativeHeight="251634176" behindDoc="1" locked="0" layoutInCell="1" allowOverlap="1">
            <wp:simplePos x="0" y="0"/>
            <wp:positionH relativeFrom="column">
              <wp:posOffset>0</wp:posOffset>
            </wp:positionH>
            <wp:positionV relativeFrom="paragraph">
              <wp:posOffset>8890</wp:posOffset>
            </wp:positionV>
            <wp:extent cx="344170" cy="344170"/>
            <wp:effectExtent l="19050" t="0" r="0" b="0"/>
            <wp:wrapTight wrapText="bothSides">
              <wp:wrapPolygon edited="0">
                <wp:start x="2391" y="0"/>
                <wp:lineTo x="-1196" y="4782"/>
                <wp:lineTo x="-1196" y="14347"/>
                <wp:lineTo x="2391" y="19129"/>
                <wp:lineTo x="16738" y="19129"/>
                <wp:lineTo x="16738" y="19129"/>
                <wp:lineTo x="20325" y="14347"/>
                <wp:lineTo x="20325" y="4782"/>
                <wp:lineTo x="16738" y="0"/>
                <wp:lineTo x="239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344170" cy="344170"/>
                    </a:xfrm>
                    <a:prstGeom prst="rect">
                      <a:avLst/>
                    </a:prstGeom>
                    <a:noFill/>
                    <a:ln w="9525">
                      <a:noFill/>
                      <a:miter lim="800000"/>
                      <a:headEnd/>
                      <a:tailEnd/>
                    </a:ln>
                  </pic:spPr>
                </pic:pic>
              </a:graphicData>
            </a:graphic>
          </wp:anchor>
        </w:drawing>
      </w:r>
      <w:r w:rsidR="00E17BF3">
        <w:t xml:space="preserve">If the identified waterbodies have been assessed as threatened or impaired under the 305(b) program, and if CSOs are cited as a source of impairment or if the pollutants found in CSOs are listed as a cause of impairment, CSOs likely cause or contribute to a recognized water quality problem. Under </w:t>
      </w:r>
      <w:r w:rsidR="005C6A32">
        <w:t xml:space="preserve">such </w:t>
      </w:r>
      <w:r w:rsidR="00E17BF3">
        <w:t xml:space="preserve">circumstances, permittees should check with the permitting authority to confirm that use of the </w:t>
      </w:r>
      <w:r w:rsidR="00FF476A">
        <w:t xml:space="preserve">Green </w:t>
      </w:r>
      <w:r w:rsidR="00E17BF3">
        <w:t>LTCP-EZ Template or the presumption approach is appropriate</w:t>
      </w:r>
      <w:r w:rsidR="0062037C">
        <w:t>.</w:t>
      </w:r>
    </w:p>
    <w:p w:rsidR="00E17BF3" w:rsidRDefault="00E17BF3" w:rsidP="00FA6577">
      <w:pPr>
        <w:pStyle w:val="BodyText"/>
      </w:pPr>
      <w:r>
        <w:t xml:space="preserve">If the waterbodies are not designated by the permitting authority as impaired or if the waterbody is impaired but the CSO discharges are not viewed as a cause of the impairment, the permittee may continue with the </w:t>
      </w:r>
      <w:r w:rsidR="00FF476A">
        <w:t xml:space="preserve">Green </w:t>
      </w:r>
      <w:r>
        <w:t>LTCP-EZ Template.</w:t>
      </w:r>
    </w:p>
    <w:p w:rsidR="00E17BF3" w:rsidRDefault="00E17BF3" w:rsidP="003859D2">
      <w:pPr>
        <w:pStyle w:val="Heading2"/>
      </w:pPr>
      <w:bookmarkStart w:id="40" w:name="_Toc127078223"/>
      <w:bookmarkStart w:id="41" w:name="_Toc243725235"/>
      <w:bookmarkStart w:id="42" w:name="_Toc243809412"/>
      <w:bookmarkStart w:id="43" w:name="_Toc285015573"/>
      <w:r>
        <w:t>System Characterization</w:t>
      </w:r>
      <w:bookmarkEnd w:id="40"/>
      <w:bookmarkEnd w:id="41"/>
      <w:bookmarkEnd w:id="42"/>
      <w:bookmarkEnd w:id="43"/>
    </w:p>
    <w:p w:rsidR="0062037C" w:rsidRDefault="00E17BF3" w:rsidP="00FA6577">
      <w:pPr>
        <w:pStyle w:val="BodyText"/>
      </w:pPr>
      <w:r>
        <w:t>CSO control planning involves consider</w:t>
      </w:r>
      <w:r w:rsidR="005C6A32">
        <w:t>ing</w:t>
      </w:r>
      <w:r>
        <w:t xml:space="preserve"> the site-specific nature of CSOs. The amount of combined sewage flow that can be conveyed to the WWTP in a CSS depends on a combination of regulator capacity, interceptor capacity, pump station capacity, and WWTP capacity. The </w:t>
      </w:r>
      <w:r w:rsidR="00FF476A">
        <w:t xml:space="preserve">Green </w:t>
      </w:r>
      <w:r>
        <w:t xml:space="preserve">LTCP-EZ Template uses the term </w:t>
      </w:r>
      <w:r w:rsidRPr="00FA6577">
        <w:rPr>
          <w:rStyle w:val="italic"/>
        </w:rPr>
        <w:t>CSO hydraulic control capacity</w:t>
      </w:r>
      <w:r>
        <w:t xml:space="preserve"> as a generic reference to these types of flow controls. In any system, one or more of the </w:t>
      </w:r>
      <w:bookmarkStart w:id="44" w:name="OLE_LINK4"/>
      <w:bookmarkStart w:id="45" w:name="OLE_LINK6"/>
      <w:r>
        <w:t xml:space="preserve">CSO hydraulic control capacities </w:t>
      </w:r>
      <w:bookmarkEnd w:id="44"/>
      <w:bookmarkEnd w:id="45"/>
      <w:r>
        <w:t>m</w:t>
      </w:r>
      <w:r w:rsidR="00B8136B">
        <w:t>ight</w:t>
      </w:r>
      <w:r>
        <w:t xml:space="preserve"> be the limiting factor. If the community has not previously carried out an analysis of the peak capacity of </w:t>
      </w:r>
      <w:r>
        <w:lastRenderedPageBreak/>
        <w:t xml:space="preserve">each portion of its CSS, </w:t>
      </w:r>
      <w:r w:rsidR="00B8136B">
        <w:t>EPA</w:t>
      </w:r>
      <w:r>
        <w:t xml:space="preserve"> strongly suggest</w:t>
      </w:r>
      <w:r w:rsidR="00B8136B">
        <w:t>s</w:t>
      </w:r>
      <w:r>
        <w:t xml:space="preserve"> that the determination of each CSO hydraulic control capacity be carried out by individual(s) experienced in such hydraulic analyses. </w:t>
      </w:r>
      <w:r w:rsidR="00B8136B">
        <w:t>EPA also cautions c</w:t>
      </w:r>
      <w:r>
        <w:t xml:space="preserve">ommunities against evaluating CSO regulator capacity without considering interceptor capacity as well, </w:t>
      </w:r>
      <w:r w:rsidR="00B8136B">
        <w:t xml:space="preserve">because </w:t>
      </w:r>
      <w:r>
        <w:t xml:space="preserve">the nominal capacity of a given CSO regulator </w:t>
      </w:r>
      <w:r w:rsidR="00B8136B">
        <w:t>could</w:t>
      </w:r>
      <w:r>
        <w:t xml:space="preserve"> exceed that of its receiving interceptor under the same peak wet</w:t>
      </w:r>
      <w:r w:rsidR="00B8136B">
        <w:t>-</w:t>
      </w:r>
      <w:r>
        <w:t>weather conditions</w:t>
      </w:r>
      <w:r w:rsidR="0062037C">
        <w:t>.</w:t>
      </w:r>
    </w:p>
    <w:p w:rsidR="00E17BF3" w:rsidRDefault="00E17BF3" w:rsidP="00FA6577">
      <w:pPr>
        <w:pStyle w:val="BodyText"/>
      </w:pPr>
      <w:r>
        <w:t xml:space="preserve">To develop an adequate control plan, the permittee </w:t>
      </w:r>
      <w:r>
        <w:rPr>
          <w:bCs/>
          <w:iCs/>
        </w:rPr>
        <w:t>needs to</w:t>
      </w:r>
      <w:r>
        <w:rPr>
          <w:b/>
          <w:bCs/>
          <w:i/>
          <w:iCs/>
        </w:rPr>
        <w:t xml:space="preserve"> </w:t>
      </w:r>
      <w:r>
        <w:t>have a thorough understanding of the following:</w:t>
      </w:r>
    </w:p>
    <w:p w:rsidR="00E17BF3" w:rsidRDefault="00E17BF3" w:rsidP="00A20390">
      <w:pPr>
        <w:pStyle w:val="bullet"/>
      </w:pPr>
      <w:r>
        <w:t>The extent of the CSS and the number of CSO outfalls</w:t>
      </w:r>
    </w:p>
    <w:p w:rsidR="00E17BF3" w:rsidRDefault="00E17BF3" w:rsidP="00A20390">
      <w:pPr>
        <w:pStyle w:val="bullet"/>
      </w:pPr>
      <w:r>
        <w:t>The interconnectivity of the system</w:t>
      </w:r>
    </w:p>
    <w:p w:rsidR="00E17BF3" w:rsidRDefault="00E17BF3" w:rsidP="00A20390">
      <w:pPr>
        <w:pStyle w:val="bullet"/>
      </w:pPr>
      <w:r>
        <w:t>The response of the CSS to rainfall</w:t>
      </w:r>
    </w:p>
    <w:p w:rsidR="00E17BF3" w:rsidRDefault="00E17BF3" w:rsidP="00A20390">
      <w:pPr>
        <w:pStyle w:val="bullet"/>
      </w:pPr>
      <w:r>
        <w:t>The water quality characteristics of the CSOs</w:t>
      </w:r>
    </w:p>
    <w:p w:rsidR="00E17BF3" w:rsidRDefault="00E17BF3" w:rsidP="00A20390">
      <w:pPr>
        <w:pStyle w:val="bullet"/>
      </w:pPr>
      <w:r>
        <w:t>The water quality impacts that result from CSOs</w:t>
      </w:r>
    </w:p>
    <w:p w:rsidR="00E17BF3" w:rsidRDefault="00E17BF3" w:rsidP="00FA6577">
      <w:pPr>
        <w:pStyle w:val="BodyText"/>
      </w:pPr>
      <w:r>
        <w:t>Of th</w:t>
      </w:r>
      <w:r w:rsidR="00B8136B">
        <w:t>o</w:t>
      </w:r>
      <w:r>
        <w:t xml:space="preserve">se, the first three considerations are the most important for small communities. </w:t>
      </w:r>
      <w:r w:rsidR="000F768F">
        <w:rPr>
          <w:lang w:val="en-CA"/>
        </w:rPr>
        <w:fldChar w:fldCharType="begin"/>
      </w:r>
      <w:r>
        <w:rPr>
          <w:lang w:val="en-CA"/>
        </w:rPr>
        <w:instrText xml:space="preserve"> SEQ CHAPTER \h \r 1</w:instrText>
      </w:r>
      <w:r w:rsidR="000F768F">
        <w:rPr>
          <w:lang w:val="en-CA"/>
        </w:rPr>
        <w:fldChar w:fldCharType="end"/>
      </w:r>
      <w:r w:rsidR="00294229">
        <w:rPr>
          <w:lang w:val="en-CA"/>
        </w:rPr>
        <w:t>Communities</w:t>
      </w:r>
      <w:r>
        <w:t xml:space="preserve"> using the </w:t>
      </w:r>
      <w:r w:rsidR="00FF476A">
        <w:t xml:space="preserve">Green </w:t>
      </w:r>
      <w:r>
        <w:t xml:space="preserve">LTCP-EZ Template are encouraged to obtain at least limited rainfall and system flow data to allow the runoff response calculated by the </w:t>
      </w:r>
      <w:r w:rsidR="00FF476A">
        <w:t xml:space="preserve">Green </w:t>
      </w:r>
      <w:r>
        <w:t>LTCP-EZ approach to be checked against actual system flow data.</w:t>
      </w:r>
    </w:p>
    <w:p w:rsidR="00E17BF3" w:rsidRDefault="00E17BF3" w:rsidP="00FA6577">
      <w:pPr>
        <w:pStyle w:val="BodyText"/>
      </w:pPr>
      <w:r>
        <w:t xml:space="preserve">Line 8 is used to indicate that a map has been attached to the </w:t>
      </w:r>
      <w:r w:rsidR="00FF476A">
        <w:t xml:space="preserve">Green </w:t>
      </w:r>
      <w:r>
        <w:t>LTCP-EZ Template</w:t>
      </w:r>
      <w:r w:rsidR="0043213D">
        <w:t xml:space="preserve">. </w:t>
      </w:r>
      <w:r>
        <w:t>Lines 9-11 provide more specific information about the CSS</w:t>
      </w:r>
      <w:r w:rsidR="0043213D">
        <w:t xml:space="preserve">. </w:t>
      </w:r>
      <w:r>
        <w:t>Information on Lines 9 through 11 is organized by CSO outfall and sub-sewershed.</w:t>
      </w:r>
    </w:p>
    <w:p w:rsidR="00E17BF3" w:rsidRDefault="00E17BF3" w:rsidP="00FA6577">
      <w:pPr>
        <w:pStyle w:val="BodyText"/>
        <w:rPr>
          <w:iCs/>
        </w:rPr>
      </w:pPr>
      <w:r w:rsidRPr="00FA6577">
        <w:rPr>
          <w:rStyle w:val="Bold"/>
        </w:rPr>
        <w:t xml:space="preserve">Line 8 </w:t>
      </w:r>
      <w:r>
        <w:t>–</w:t>
      </w:r>
      <w:r w:rsidRPr="00FA6577">
        <w:rPr>
          <w:rStyle w:val="Bold"/>
        </w:rPr>
        <w:t xml:space="preserve"> General Location. </w:t>
      </w:r>
      <w:r>
        <w:rPr>
          <w:iCs/>
        </w:rPr>
        <w:t xml:space="preserve">Please check the box on Line 8 to indicate </w:t>
      </w:r>
      <w:r w:rsidR="00B8136B">
        <w:rPr>
          <w:iCs/>
        </w:rPr>
        <w:t xml:space="preserve">that </w:t>
      </w:r>
      <w:r>
        <w:rPr>
          <w:iCs/>
        </w:rPr>
        <w:t xml:space="preserve">Schedule 2 </w:t>
      </w:r>
      <w:r>
        <w:t xml:space="preserve">– </w:t>
      </w:r>
      <w:r>
        <w:rPr>
          <w:iCs/>
        </w:rPr>
        <w:t>MAP is attached</w:t>
      </w:r>
      <w:r>
        <w:t xml:space="preserve"> to FORM </w:t>
      </w:r>
      <w:r w:rsidR="00FF476A">
        <w:t xml:space="preserve">GREEN </w:t>
      </w:r>
      <w:r>
        <w:t xml:space="preserve">LTCP-EZ. Schedule 2 – MAP should include a </w:t>
      </w:r>
      <w:r>
        <w:rPr>
          <w:iCs/>
        </w:rPr>
        <w:t xml:space="preserve">map or sketch of the CSS </w:t>
      </w:r>
      <w:r>
        <w:t>that shows the following:</w:t>
      </w:r>
    </w:p>
    <w:p w:rsidR="00E17BF3" w:rsidRDefault="00E17BF3" w:rsidP="00A20390">
      <w:pPr>
        <w:pStyle w:val="bullet"/>
      </w:pPr>
      <w:r>
        <w:t>Boundaries of the CSS service area and, if different, total area served by the sewer system</w:t>
      </w:r>
    </w:p>
    <w:p w:rsidR="00E17BF3" w:rsidRDefault="00E17BF3" w:rsidP="00A20390">
      <w:pPr>
        <w:pStyle w:val="bullet"/>
      </w:pPr>
      <w:r>
        <w:t>CSO outfall locations</w:t>
      </w:r>
    </w:p>
    <w:p w:rsidR="00E17BF3" w:rsidRDefault="00E17BF3" w:rsidP="00A20390">
      <w:pPr>
        <w:pStyle w:val="bullet"/>
      </w:pPr>
      <w:r>
        <w:t>Boundaries of individual sub-sewersheds within the CSS  that drain to a CSO outfall</w:t>
      </w:r>
    </w:p>
    <w:p w:rsidR="00E17BF3" w:rsidRDefault="00E17BF3" w:rsidP="00A20390">
      <w:pPr>
        <w:pStyle w:val="bullet"/>
      </w:pPr>
      <w:r>
        <w:t xml:space="preserve">Location of major hydraulic control points such as CSO regulators (weirs, diversion structures, </w:t>
      </w:r>
      <w:r w:rsidR="00B8136B">
        <w:t>and such</w:t>
      </w:r>
      <w:r>
        <w:t>) and pump stations</w:t>
      </w:r>
    </w:p>
    <w:p w:rsidR="00E17BF3" w:rsidRDefault="00E17BF3" w:rsidP="00A20390">
      <w:pPr>
        <w:pStyle w:val="bullet"/>
      </w:pPr>
      <w:r>
        <w:t>Location of major sewer interceptors (show as pathways to the WWTP)</w:t>
      </w:r>
    </w:p>
    <w:p w:rsidR="00E17BF3" w:rsidRDefault="00E17BF3" w:rsidP="00A20390">
      <w:pPr>
        <w:pStyle w:val="bullet"/>
      </w:pPr>
      <w:r>
        <w:t>WWTP, if present</w:t>
      </w:r>
    </w:p>
    <w:p w:rsidR="00E17BF3" w:rsidRDefault="00E17BF3" w:rsidP="00A20390">
      <w:pPr>
        <w:pStyle w:val="bullet"/>
      </w:pPr>
      <w:r>
        <w:t>Waterbodies</w:t>
      </w:r>
    </w:p>
    <w:p w:rsidR="00E17BF3" w:rsidRDefault="00E17BF3" w:rsidP="00FA6577">
      <w:pPr>
        <w:pStyle w:val="BodyText"/>
      </w:pPr>
      <w:r>
        <w:t xml:space="preserve">Delineation of the boundaries of the CSS and individual sub-sewersheds is very important. Delineation is most often done by hand with sewer maps, street maps, contours, and the location of key hydraulic control points such as regulators and sewer interceptors. The measurement of CSS and sub-sewershed area is also very important. Area can be measured directly with </w:t>
      </w:r>
      <w:r w:rsidR="00B8136B">
        <w:t>geographic information systems (</w:t>
      </w:r>
      <w:r>
        <w:t>GIS</w:t>
      </w:r>
      <w:r w:rsidR="00B8136B">
        <w:t>),</w:t>
      </w:r>
      <w:r>
        <w:t xml:space="preserve"> </w:t>
      </w:r>
      <w:r w:rsidR="00B8136B">
        <w:t>computer aided design</w:t>
      </w:r>
      <w:r>
        <w:t xml:space="preserve"> systems, or it can be measured by hand by overlaying graph paper and counting squares of known dimension in the CSS or sub-sewershed boundary.</w:t>
      </w:r>
    </w:p>
    <w:p w:rsidR="0062037C" w:rsidRDefault="00E17BF3" w:rsidP="00FA6577">
      <w:pPr>
        <w:pStyle w:val="BodyText"/>
      </w:pPr>
      <w:r w:rsidRPr="00FA6577">
        <w:rPr>
          <w:rStyle w:val="Bold"/>
        </w:rPr>
        <w:t xml:space="preserve">Line 9 </w:t>
      </w:r>
      <w:r>
        <w:t xml:space="preserve">– </w:t>
      </w:r>
      <w:r w:rsidRPr="00FA6577">
        <w:rPr>
          <w:rStyle w:val="Bold"/>
        </w:rPr>
        <w:t>CSO Information.</w:t>
      </w:r>
      <w:r>
        <w:t xml:space="preserve"> Use one column in Line 9 for each CSO outfall in the CSS (e.g., CSO A, CSO B). Space is provided for up to four CSO </w:t>
      </w:r>
      <w:r>
        <w:t xml:space="preserve">outfalls in FORM </w:t>
      </w:r>
      <w:r w:rsidR="00FF476A">
        <w:t xml:space="preserve">GREEN </w:t>
      </w:r>
      <w:r>
        <w:t>LTCP-EZ. Add additional columns if needed. See the example for Line 9</w:t>
      </w:r>
      <w:r w:rsidR="0062037C">
        <w:t>.</w:t>
      </w:r>
    </w:p>
    <w:p w:rsidR="0062037C" w:rsidRDefault="00E17BF3" w:rsidP="00A20390">
      <w:pPr>
        <w:pStyle w:val="bullet"/>
      </w:pPr>
      <w:r w:rsidRPr="00FA6577">
        <w:rPr>
          <w:rStyle w:val="Bold"/>
        </w:rPr>
        <w:t>Line 9a – Permitted CSO number</w:t>
      </w:r>
      <w:r w:rsidRPr="003859D2">
        <w:t>. Enter an identifying number for each CSO outfall</w:t>
      </w:r>
      <w:r w:rsidR="0062037C">
        <w:t>.</w:t>
      </w:r>
    </w:p>
    <w:p w:rsidR="00E17BF3" w:rsidRPr="003859D2" w:rsidRDefault="00E17BF3" w:rsidP="00A20390">
      <w:pPr>
        <w:pStyle w:val="bullet"/>
      </w:pPr>
      <w:r w:rsidRPr="00FA6577">
        <w:rPr>
          <w:rStyle w:val="Bold"/>
        </w:rPr>
        <w:t>Line 9b – Description of location</w:t>
      </w:r>
      <w:r w:rsidRPr="003859D2">
        <w:t>. Enter a narrative description of the location for each CSO outfall.</w:t>
      </w:r>
    </w:p>
    <w:p w:rsidR="00E17BF3" w:rsidRPr="003859D2" w:rsidRDefault="00E17BF3" w:rsidP="00A20390">
      <w:pPr>
        <w:pStyle w:val="bullet"/>
      </w:pPr>
      <w:r w:rsidRPr="00FA6577">
        <w:rPr>
          <w:rStyle w:val="Bold"/>
        </w:rPr>
        <w:t>Line 9c – Latitude/Longitude</w:t>
      </w:r>
      <w:r w:rsidRPr="003859D2">
        <w:t>. Enter the latitude and longitude for each CSO outfall, where available.</w:t>
      </w:r>
    </w:p>
    <w:p w:rsidR="00E17BF3" w:rsidRPr="003859D2" w:rsidRDefault="00E17BF3" w:rsidP="00A20390">
      <w:pPr>
        <w:pStyle w:val="bullet"/>
      </w:pPr>
      <w:r w:rsidRPr="00FA6577">
        <w:rPr>
          <w:rStyle w:val="Bold"/>
        </w:rPr>
        <w:t>Line 9d – Receiving water</w:t>
      </w:r>
      <w:r w:rsidRPr="003859D2">
        <w:t>. Enter the name of the receiving water for each CSO outfall.</w:t>
      </w:r>
    </w:p>
    <w:p w:rsidR="0062037C" w:rsidRDefault="00E17BF3" w:rsidP="00FA6577">
      <w:pPr>
        <w:pStyle w:val="BodyText"/>
      </w:pPr>
      <w:r w:rsidRPr="00A64758">
        <w:rPr>
          <w:rStyle w:val="Bold"/>
        </w:rPr>
        <w:t>Line 10 – CSS Information.</w:t>
      </w:r>
      <w:r>
        <w:t xml:space="preserve"> Most (though not all) CSOs have a defined service area, and surface runoff in this area enters the CSS. For the purpose of the </w:t>
      </w:r>
      <w:r w:rsidR="00FF476A">
        <w:t xml:space="preserve">Green </w:t>
      </w:r>
      <w:r>
        <w:t xml:space="preserve">LTCP-EZ Template, </w:t>
      </w:r>
      <w:r w:rsidRPr="00B64EF9">
        <w:rPr>
          <w:rStyle w:val="italic"/>
        </w:rPr>
        <w:t>sub-sewershed area</w:t>
      </w:r>
      <w:r>
        <w:t xml:space="preserve"> is used to describe the defined </w:t>
      </w:r>
      <w:r w:rsidR="00036D9C">
        <w:t>s</w:t>
      </w:r>
      <w:r>
        <w:t>ervice area for each CSO in a CSS</w:t>
      </w:r>
      <w:r w:rsidR="0062037C">
        <w:t>.</w:t>
      </w:r>
    </w:p>
    <w:p w:rsidR="00E17BF3" w:rsidRPr="00A20390" w:rsidRDefault="00E17BF3" w:rsidP="00FA6577">
      <w:pPr>
        <w:pStyle w:val="BodyText"/>
        <w:rPr>
          <w:szCs w:val="20"/>
        </w:rPr>
      </w:pPr>
      <w:r>
        <w:t>Use one column in Line 10 to describe the following information for each sub-sewershed area in the CSS. Space is provided for up to four sub-sewersheds. Add additional columns if needed. See the example for Line 10.</w:t>
      </w:r>
    </w:p>
    <w:p w:rsidR="00E17BF3" w:rsidRDefault="00E17BF3" w:rsidP="00A20390">
      <w:pPr>
        <w:pStyle w:val="bullet"/>
      </w:pPr>
      <w:r w:rsidRPr="00FA6577">
        <w:rPr>
          <w:rStyle w:val="Bold"/>
        </w:rPr>
        <w:t>Line 10a – Sub-sewershed area.</w:t>
      </w:r>
      <w:r>
        <w:t xml:space="preserve"> Enter the area (in acres) for the contributing sub-sewershed. </w:t>
      </w:r>
      <w:r w:rsidRPr="00FA6577">
        <w:rPr>
          <w:rStyle w:val="Bold"/>
        </w:rPr>
        <w:t>Note 1</w:t>
      </w:r>
      <w:r>
        <w:t xml:space="preserve">: the sum of sub-sewershed areas in CSS should be consistent with Line 3a. </w:t>
      </w:r>
      <w:r w:rsidRPr="00FA6577">
        <w:rPr>
          <w:rStyle w:val="Bold"/>
        </w:rPr>
        <w:t>Note 2</w:t>
      </w:r>
      <w:r>
        <w:t>: this information is also used in Schedule 4</w:t>
      </w:r>
      <w:r w:rsidR="002442EF">
        <w:t xml:space="preserve"> – </w:t>
      </w:r>
      <w:r>
        <w:t>CSO VOLUME.</w:t>
      </w:r>
    </w:p>
    <w:p w:rsidR="0062037C" w:rsidRDefault="00E17BF3" w:rsidP="00A20390">
      <w:pPr>
        <w:pStyle w:val="bullet"/>
      </w:pPr>
      <w:r w:rsidRPr="00FA6577">
        <w:rPr>
          <w:rStyle w:val="Bold"/>
        </w:rPr>
        <w:t xml:space="preserve">Line 10b – </w:t>
      </w:r>
      <w:smartTag w:uri="urn:schemas-microsoft-com:office:smarttags" w:element="place">
        <w:smartTag w:uri="urn:schemas-microsoft-com:office:smarttags" w:element="PlaceName">
          <w:r w:rsidRPr="00FA6577">
            <w:rPr>
              <w:rStyle w:val="Bold"/>
            </w:rPr>
            <w:t>Principal</w:t>
          </w:r>
        </w:smartTag>
        <w:r w:rsidRPr="00FA6577">
          <w:rPr>
            <w:rStyle w:val="Bold"/>
          </w:rPr>
          <w:t xml:space="preserve"> </w:t>
        </w:r>
        <w:smartTag w:uri="urn:schemas-microsoft-com:office:smarttags" w:element="PlaceType">
          <w:r w:rsidRPr="00FA6577">
            <w:rPr>
              <w:rStyle w:val="Bold"/>
            </w:rPr>
            <w:t>land</w:t>
          </w:r>
        </w:smartTag>
      </w:smartTag>
      <w:r w:rsidRPr="00FA6577">
        <w:rPr>
          <w:rStyle w:val="Bold"/>
        </w:rPr>
        <w:t xml:space="preserve"> use</w:t>
      </w:r>
      <w:r w:rsidRPr="001455D0">
        <w:t xml:space="preserve">. Enter the principal land use for the sub-sewershed </w:t>
      </w:r>
      <w:r w:rsidRPr="001455D0">
        <w:lastRenderedPageBreak/>
        <w:t>(i.e., business - downtown, residential–single family</w:t>
      </w:r>
      <w:r w:rsidR="002442EF">
        <w:t>)</w:t>
      </w:r>
      <w:r w:rsidR="0043213D" w:rsidRPr="001455D0">
        <w:t xml:space="preserve"> </w:t>
      </w:r>
      <w:r w:rsidR="002442EF">
        <w:t>S</w:t>
      </w:r>
      <w:r w:rsidRPr="001455D0">
        <w:t>ee Table 1 in Schedule 4- CSO VOLUME</w:t>
      </w:r>
      <w:r w:rsidR="0062037C">
        <w:t>.</w:t>
      </w:r>
    </w:p>
    <w:p w:rsidR="00E17BF3" w:rsidRDefault="00E17BF3" w:rsidP="00FA6577">
      <w:pPr>
        <w:pStyle w:val="BodyText"/>
      </w:pPr>
      <w:r w:rsidRPr="00FA6577">
        <w:rPr>
          <w:rStyle w:val="Bold"/>
        </w:rPr>
        <w:t>Line 11 – CSO Hydraulic Control Capacity</w:t>
      </w:r>
      <w:r w:rsidR="0043213D" w:rsidRPr="00FA6577">
        <w:rPr>
          <w:rStyle w:val="Bold"/>
        </w:rPr>
        <w:t xml:space="preserve">. </w:t>
      </w:r>
      <w:r>
        <w:t>The amount of combined sewage that can be conveyed to the WWTP in a CSS depends on a combination of regulator, interceptor, pump station, and WWTP capacity. The volume and rate of combined sewage that can be c</w:t>
      </w:r>
      <w:r w:rsidR="00DA2211">
        <w:t>onveyed in a CSS depends on dry-</w:t>
      </w:r>
      <w:r>
        <w:t xml:space="preserve">weather flows and these capacities. In any system, one or more of the capacities </w:t>
      </w:r>
      <w:r w:rsidR="00DA2211">
        <w:t xml:space="preserve">could </w:t>
      </w:r>
      <w:r>
        <w:t>be the limiting factor.</w:t>
      </w:r>
    </w:p>
    <w:p w:rsidR="0062037C" w:rsidRDefault="00E17BF3" w:rsidP="00FA6577">
      <w:pPr>
        <w:pStyle w:val="BodyText"/>
      </w:pPr>
      <w:r>
        <w:t>The CSO hydraulic control capacity defines the amount of combined sewage that is diverted to the interceptor. Interceptors are large sewer pipes that convey dry</w:t>
      </w:r>
      <w:r w:rsidR="00DA2211">
        <w:t>-</w:t>
      </w:r>
      <w:r>
        <w:t>weather flow and a portion of the wet weather-generated combined sewage flow to WWTPs</w:t>
      </w:r>
      <w:r w:rsidR="0062037C">
        <w:t>.</w:t>
      </w:r>
    </w:p>
    <w:p w:rsidR="00E17BF3" w:rsidRDefault="00E17BF3" w:rsidP="00FA6577">
      <w:pPr>
        <w:pStyle w:val="BodyText"/>
      </w:pPr>
      <w:r>
        <w:t xml:space="preserve">The CSO hydraulic control capacity of passive structures such as weirs and orifices can </w:t>
      </w:r>
      <w:r>
        <w:t>be calculated or estimated as long as drawings are available and the dimensions of the structures are known. The use of standard weir or orifice equations is recommended if they are appropriate for the structures that are present. As a general rule, the diversion rate is often three to five times greater than dry</w:t>
      </w:r>
      <w:r w:rsidR="00DA2211">
        <w:t>-</w:t>
      </w:r>
      <w:r>
        <w:t xml:space="preserve">weather flow. Permittees should consult a standard hydraulics handbook or </w:t>
      </w:r>
      <w:r w:rsidR="00005030">
        <w:t xml:space="preserve">a </w:t>
      </w:r>
      <w:r>
        <w:t>professional engineer familiar with the design and operation of regulators if the CSO hydraulic control capacity is unknown and the permittee is unable to determine regulator capacity with the resources available.</w:t>
      </w:r>
    </w:p>
    <w:p w:rsidR="00E17BF3" w:rsidRDefault="00E17BF3" w:rsidP="00FA6577">
      <w:pPr>
        <w:pStyle w:val="BodyText"/>
      </w:pPr>
      <w:r>
        <w:t>Use one column in Line 11 to describe the following information for each CSO and sub-sewershed</w:t>
      </w:r>
      <w:r w:rsidR="0043213D">
        <w:t xml:space="preserve">. </w:t>
      </w:r>
      <w:r>
        <w:t>See the example for Line 11.</w:t>
      </w:r>
    </w:p>
    <w:p w:rsidR="00E17BF3" w:rsidRDefault="00E17BF3" w:rsidP="00A20390">
      <w:pPr>
        <w:pStyle w:val="bullet"/>
      </w:pPr>
      <w:r w:rsidRPr="00FA6577">
        <w:rPr>
          <w:rStyle w:val="Bold"/>
        </w:rPr>
        <w:t>Line 11a – Type of CSO hydraulic control.</w:t>
      </w:r>
      <w:r>
        <w:t xml:space="preserve"> Enter the type of hydraulic control used for this CSO, e.g., weir.</w:t>
      </w:r>
    </w:p>
    <w:p w:rsidR="00E17BF3" w:rsidRPr="00706250" w:rsidRDefault="00E17BF3" w:rsidP="00A20390">
      <w:pPr>
        <w:pStyle w:val="bullet"/>
      </w:pPr>
      <w:r w:rsidRPr="00FA6577">
        <w:rPr>
          <w:rStyle w:val="Bold"/>
        </w:rPr>
        <w:t xml:space="preserve">Line 11b </w:t>
      </w:r>
      <w:r>
        <w:t>–</w:t>
      </w:r>
      <w:r w:rsidRPr="00FA6577">
        <w:rPr>
          <w:rStyle w:val="Bold"/>
        </w:rPr>
        <w:t xml:space="preserve"> CSO hydraulic control capacity. </w:t>
      </w:r>
      <w:r>
        <w:t xml:space="preserve">Enter the capacity in MGD of the CSO hydraulic control. </w:t>
      </w:r>
      <w:r w:rsidRPr="00FA6577">
        <w:rPr>
          <w:rStyle w:val="Bold"/>
        </w:rPr>
        <w:t>Note</w:t>
      </w:r>
      <w:r>
        <w:t xml:space="preserve">: this information is </w:t>
      </w:r>
      <w:r w:rsidRPr="00A20390">
        <w:t>a</w:t>
      </w:r>
      <w:r>
        <w:t>lso used in Schedule 4-CSO VOLUME</w:t>
      </w:r>
      <w:r w:rsidR="004B0472">
        <w:t xml:space="preserve"> and </w:t>
      </w:r>
      <w:r w:rsidR="004B0472" w:rsidRPr="00706250">
        <w:t>Schedule 5</w:t>
      </w:r>
      <w:r w:rsidR="00E32832" w:rsidRPr="00706250">
        <w:t>A</w:t>
      </w:r>
      <w:r w:rsidR="004B0472" w:rsidRPr="00706250">
        <w:t xml:space="preserve">-CSO </w:t>
      </w:r>
      <w:r w:rsidR="00557A2A" w:rsidRPr="00706250">
        <w:t xml:space="preserve">RUNOFF </w:t>
      </w:r>
      <w:r w:rsidR="004B0472" w:rsidRPr="00706250">
        <w:t>CONTROL</w:t>
      </w:r>
      <w:r w:rsidRPr="00706250">
        <w:t>.</w:t>
      </w:r>
    </w:p>
    <w:p w:rsidR="00E17BF3" w:rsidRPr="00DA2211" w:rsidRDefault="00E17BF3" w:rsidP="00A20390">
      <w:pPr>
        <w:pStyle w:val="bullet"/>
      </w:pPr>
      <w:r w:rsidRPr="00FA6577">
        <w:rPr>
          <w:rStyle w:val="Bold"/>
        </w:rPr>
        <w:t>Line 11c – Name of interceptor or downstream pipe</w:t>
      </w:r>
      <w:r w:rsidRPr="00DA2211">
        <w:t>. Enter the name of the interceptor that receives the diverted flow.</w:t>
      </w:r>
    </w:p>
    <w:p w:rsidR="00DA2211" w:rsidRDefault="00DA2211" w:rsidP="003859D2">
      <w:pPr>
        <w:pStyle w:val="Heading2"/>
      </w:pPr>
      <w:bookmarkStart w:id="46" w:name="_Toc243725236"/>
      <w:bookmarkStart w:id="47" w:name="_Toc243809413"/>
      <w:bookmarkStart w:id="48" w:name="_Toc285015574"/>
      <w:bookmarkStart w:id="49" w:name="_Toc127078226"/>
      <w:r w:rsidRPr="002442EF">
        <w:t>Public Participation</w:t>
      </w:r>
      <w:bookmarkEnd w:id="46"/>
      <w:bookmarkEnd w:id="47"/>
      <w:bookmarkEnd w:id="48"/>
    </w:p>
    <w:bookmarkEnd w:id="49"/>
    <w:p w:rsidR="00E17BF3" w:rsidRPr="00DA2211" w:rsidRDefault="00430DFB" w:rsidP="00FA6577">
      <w:pPr>
        <w:pStyle w:val="BodyText"/>
      </w:pPr>
      <w:r>
        <w:rPr>
          <w:rStyle w:val="Bold"/>
          <w:noProof/>
        </w:rPr>
        <mc:AlternateContent>
          <mc:Choice Requires="wps">
            <w:drawing>
              <wp:anchor distT="0" distB="0" distL="114300" distR="114300" simplePos="0" relativeHeight="251646464" behindDoc="0" locked="0" layoutInCell="1" allowOverlap="1">
                <wp:simplePos x="0" y="0"/>
                <wp:positionH relativeFrom="margin">
                  <wp:align>left</wp:align>
                </wp:positionH>
                <wp:positionV relativeFrom="margin">
                  <wp:align>bottom</wp:align>
                </wp:positionV>
                <wp:extent cx="4019550" cy="2885440"/>
                <wp:effectExtent l="0" t="0" r="0" b="635"/>
                <wp:wrapSquare wrapText="bothSides"/>
                <wp:docPr id="1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88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9D3" w:rsidRPr="00450DCE" w:rsidRDefault="00E659D3" w:rsidP="009D74AC">
                            <w:pPr>
                              <w:pStyle w:val="Caption"/>
                              <w:rPr>
                                <w:szCs w:val="20"/>
                              </w:rPr>
                            </w:pPr>
                            <w:r w:rsidRPr="00450DCE">
                              <w:rPr>
                                <w:szCs w:val="20"/>
                              </w:rPr>
                              <w:t>Example: Line 9 – CSO Information</w:t>
                            </w:r>
                          </w:p>
                          <w:tbl>
                            <w:tblPr>
                              <w:tblOverlap w:val="never"/>
                              <w:tblW w:w="6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Look w:val="0000" w:firstRow="0" w:lastRow="0" w:firstColumn="0" w:lastColumn="0" w:noHBand="0" w:noVBand="0"/>
                            </w:tblPr>
                            <w:tblGrid>
                              <w:gridCol w:w="1868"/>
                              <w:gridCol w:w="540"/>
                              <w:gridCol w:w="1260"/>
                              <w:gridCol w:w="1170"/>
                              <w:gridCol w:w="1170"/>
                            </w:tblGrid>
                            <w:tr w:rsidR="00E659D3" w:rsidRPr="00036D9C" w:rsidTr="00980F72">
                              <w:trPr>
                                <w:trHeight w:val="215"/>
                              </w:trPr>
                              <w:tc>
                                <w:tcPr>
                                  <w:tcW w:w="1868" w:type="dxa"/>
                                  <w:vAlign w:val="center"/>
                                </w:tcPr>
                                <w:p w:rsidR="00E659D3" w:rsidRPr="00036D9C" w:rsidRDefault="00E659D3" w:rsidP="00980F72">
                                  <w:pPr>
                                    <w:pStyle w:val="tabletext"/>
                                    <w:rPr>
                                      <w:b/>
                                      <w:szCs w:val="18"/>
                                    </w:rPr>
                                  </w:pPr>
                                  <w:r w:rsidRPr="00036D9C">
                                    <w:rPr>
                                      <w:b/>
                                      <w:szCs w:val="18"/>
                                    </w:rPr>
                                    <w:t xml:space="preserve">a. </w:t>
                                  </w:r>
                                  <w:r w:rsidRPr="00036D9C">
                                    <w:rPr>
                                      <w:szCs w:val="18"/>
                                    </w:rPr>
                                    <w:t>Permitted CSO number</w:t>
                                  </w:r>
                                </w:p>
                              </w:tc>
                              <w:tc>
                                <w:tcPr>
                                  <w:tcW w:w="540" w:type="dxa"/>
                                  <w:vAlign w:val="center"/>
                                </w:tcPr>
                                <w:p w:rsidR="00E659D3" w:rsidRPr="00036D9C" w:rsidRDefault="00E659D3" w:rsidP="00980F72">
                                  <w:pPr>
                                    <w:pStyle w:val="tabletext"/>
                                    <w:jc w:val="center"/>
                                    <w:rPr>
                                      <w:b/>
                                      <w:szCs w:val="18"/>
                                    </w:rPr>
                                  </w:pPr>
                                  <w:r w:rsidRPr="00036D9C">
                                    <w:rPr>
                                      <w:b/>
                                      <w:szCs w:val="18"/>
                                    </w:rPr>
                                    <w:t>9a</w:t>
                                  </w:r>
                                </w:p>
                              </w:tc>
                              <w:tc>
                                <w:tcPr>
                                  <w:tcW w:w="1260" w:type="dxa"/>
                                  <w:vAlign w:val="center"/>
                                </w:tcPr>
                                <w:p w:rsidR="00E659D3" w:rsidRPr="00036D9C" w:rsidRDefault="00E659D3" w:rsidP="00980F72">
                                  <w:pPr>
                                    <w:pStyle w:val="tabletext"/>
                                    <w:jc w:val="center"/>
                                    <w:rPr>
                                      <w:szCs w:val="18"/>
                                    </w:rPr>
                                  </w:pPr>
                                  <w:r w:rsidRPr="00036D9C">
                                    <w:rPr>
                                      <w:szCs w:val="18"/>
                                    </w:rPr>
                                    <w:t>001</w:t>
                                  </w:r>
                                </w:p>
                              </w:tc>
                              <w:tc>
                                <w:tcPr>
                                  <w:tcW w:w="1170" w:type="dxa"/>
                                  <w:vAlign w:val="center"/>
                                </w:tcPr>
                                <w:p w:rsidR="00E659D3" w:rsidRPr="00036D9C" w:rsidRDefault="00E659D3" w:rsidP="00980F72">
                                  <w:pPr>
                                    <w:pStyle w:val="tabletext"/>
                                    <w:jc w:val="center"/>
                                    <w:rPr>
                                      <w:szCs w:val="18"/>
                                    </w:rPr>
                                  </w:pPr>
                                  <w:r w:rsidRPr="00036D9C">
                                    <w:rPr>
                                      <w:szCs w:val="18"/>
                                    </w:rPr>
                                    <w:t>002</w:t>
                                  </w:r>
                                </w:p>
                              </w:tc>
                              <w:tc>
                                <w:tcPr>
                                  <w:tcW w:w="1170" w:type="dxa"/>
                                  <w:vAlign w:val="center"/>
                                </w:tcPr>
                                <w:p w:rsidR="00E659D3" w:rsidRPr="00036D9C" w:rsidRDefault="00E659D3" w:rsidP="00980F72">
                                  <w:pPr>
                                    <w:pStyle w:val="tabletext"/>
                                    <w:jc w:val="center"/>
                                    <w:rPr>
                                      <w:szCs w:val="18"/>
                                    </w:rPr>
                                  </w:pPr>
                                  <w:r w:rsidRPr="00036D9C">
                                    <w:rPr>
                                      <w:szCs w:val="18"/>
                                    </w:rPr>
                                    <w:t>003</w:t>
                                  </w:r>
                                </w:p>
                              </w:tc>
                            </w:tr>
                            <w:tr w:rsidR="00E659D3" w:rsidRPr="00036D9C" w:rsidTr="00980F72">
                              <w:trPr>
                                <w:trHeight w:val="80"/>
                              </w:trPr>
                              <w:tc>
                                <w:tcPr>
                                  <w:tcW w:w="1868" w:type="dxa"/>
                                  <w:vAlign w:val="center"/>
                                </w:tcPr>
                                <w:p w:rsidR="00E659D3" w:rsidRPr="00036D9C" w:rsidRDefault="00E659D3" w:rsidP="00980F72">
                                  <w:pPr>
                                    <w:pStyle w:val="tabletext"/>
                                    <w:rPr>
                                      <w:b/>
                                      <w:szCs w:val="18"/>
                                    </w:rPr>
                                  </w:pPr>
                                  <w:r w:rsidRPr="00036D9C">
                                    <w:rPr>
                                      <w:b/>
                                      <w:szCs w:val="18"/>
                                    </w:rPr>
                                    <w:t xml:space="preserve">b. </w:t>
                                  </w:r>
                                  <w:r w:rsidRPr="00036D9C">
                                    <w:rPr>
                                      <w:szCs w:val="18"/>
                                    </w:rPr>
                                    <w:t>Description of location</w:t>
                                  </w:r>
                                </w:p>
                              </w:tc>
                              <w:tc>
                                <w:tcPr>
                                  <w:tcW w:w="540" w:type="dxa"/>
                                  <w:vAlign w:val="center"/>
                                </w:tcPr>
                                <w:p w:rsidR="00E659D3" w:rsidRPr="00036D9C" w:rsidRDefault="00E659D3" w:rsidP="00980F72">
                                  <w:pPr>
                                    <w:pStyle w:val="tabletext"/>
                                    <w:jc w:val="center"/>
                                    <w:rPr>
                                      <w:b/>
                                      <w:szCs w:val="18"/>
                                    </w:rPr>
                                  </w:pPr>
                                  <w:r w:rsidRPr="00036D9C">
                                    <w:rPr>
                                      <w:b/>
                                      <w:szCs w:val="18"/>
                                    </w:rPr>
                                    <w:t>9b</w:t>
                                  </w:r>
                                </w:p>
                              </w:tc>
                              <w:tc>
                                <w:tcPr>
                                  <w:tcW w:w="1260" w:type="dxa"/>
                                  <w:vAlign w:val="center"/>
                                </w:tcPr>
                                <w:p w:rsidR="00E659D3" w:rsidRPr="00036D9C" w:rsidRDefault="00E659D3" w:rsidP="00980F72">
                                  <w:pPr>
                                    <w:pStyle w:val="tabletext"/>
                                    <w:jc w:val="center"/>
                                    <w:rPr>
                                      <w:szCs w:val="18"/>
                                    </w:rPr>
                                  </w:pPr>
                                  <w:r w:rsidRPr="00036D9C">
                                    <w:rPr>
                                      <w:szCs w:val="18"/>
                                    </w:rPr>
                                    <w:t>Foot of King Street</w:t>
                                  </w:r>
                                </w:p>
                              </w:tc>
                              <w:tc>
                                <w:tcPr>
                                  <w:tcW w:w="1170" w:type="dxa"/>
                                  <w:vAlign w:val="center"/>
                                </w:tcPr>
                                <w:p w:rsidR="00E659D3" w:rsidRPr="00036D9C" w:rsidRDefault="00E659D3" w:rsidP="00980F72">
                                  <w:pPr>
                                    <w:pStyle w:val="tabletext"/>
                                    <w:jc w:val="center"/>
                                    <w:rPr>
                                      <w:szCs w:val="18"/>
                                    </w:rPr>
                                  </w:pPr>
                                  <w:r w:rsidRPr="00036D9C">
                                    <w:rPr>
                                      <w:szCs w:val="18"/>
                                    </w:rPr>
                                    <w:t>Near Main Street</w:t>
                                  </w:r>
                                </w:p>
                              </w:tc>
                              <w:tc>
                                <w:tcPr>
                                  <w:tcW w:w="1170" w:type="dxa"/>
                                  <w:vAlign w:val="center"/>
                                </w:tcPr>
                                <w:p w:rsidR="00E659D3" w:rsidRPr="00036D9C" w:rsidRDefault="00E659D3" w:rsidP="00980F72">
                                  <w:pPr>
                                    <w:pStyle w:val="tabletext"/>
                                    <w:jc w:val="center"/>
                                    <w:rPr>
                                      <w:szCs w:val="18"/>
                                    </w:rPr>
                                  </w:pPr>
                                  <w:r w:rsidRPr="00036D9C">
                                    <w:rPr>
                                      <w:szCs w:val="18"/>
                                    </w:rPr>
                                    <w:t>Near Water Street</w:t>
                                  </w:r>
                                </w:p>
                              </w:tc>
                            </w:tr>
                            <w:tr w:rsidR="00E659D3" w:rsidRPr="00036D9C" w:rsidTr="00980F72">
                              <w:trPr>
                                <w:trHeight w:val="98"/>
                              </w:trPr>
                              <w:tc>
                                <w:tcPr>
                                  <w:tcW w:w="1868" w:type="dxa"/>
                                  <w:vAlign w:val="center"/>
                                </w:tcPr>
                                <w:p w:rsidR="00E659D3" w:rsidRPr="00036D9C" w:rsidRDefault="00E659D3" w:rsidP="00980F72">
                                  <w:pPr>
                                    <w:pStyle w:val="tabletext"/>
                                    <w:rPr>
                                      <w:b/>
                                      <w:szCs w:val="18"/>
                                    </w:rPr>
                                  </w:pPr>
                                  <w:r w:rsidRPr="00036D9C">
                                    <w:rPr>
                                      <w:b/>
                                      <w:szCs w:val="18"/>
                                    </w:rPr>
                                    <w:t xml:space="preserve">c. </w:t>
                                  </w:r>
                                  <w:r w:rsidRPr="00036D9C">
                                    <w:rPr>
                                      <w:szCs w:val="18"/>
                                    </w:rPr>
                                    <w:t>Latitude/Longitude</w:t>
                                  </w:r>
                                </w:p>
                              </w:tc>
                              <w:tc>
                                <w:tcPr>
                                  <w:tcW w:w="540" w:type="dxa"/>
                                  <w:vAlign w:val="center"/>
                                </w:tcPr>
                                <w:p w:rsidR="00E659D3" w:rsidRPr="00036D9C" w:rsidRDefault="00E659D3" w:rsidP="00980F72">
                                  <w:pPr>
                                    <w:pStyle w:val="tabletext"/>
                                    <w:jc w:val="center"/>
                                    <w:rPr>
                                      <w:b/>
                                      <w:szCs w:val="18"/>
                                    </w:rPr>
                                  </w:pPr>
                                  <w:r w:rsidRPr="00036D9C">
                                    <w:rPr>
                                      <w:b/>
                                      <w:szCs w:val="18"/>
                                    </w:rPr>
                                    <w:t>9c</w:t>
                                  </w:r>
                                </w:p>
                              </w:tc>
                              <w:tc>
                                <w:tcPr>
                                  <w:tcW w:w="1260" w:type="dxa"/>
                                  <w:vAlign w:val="center"/>
                                </w:tcPr>
                                <w:p w:rsidR="00E659D3" w:rsidRPr="00036D9C" w:rsidRDefault="00E659D3" w:rsidP="00980F72">
                                  <w:pPr>
                                    <w:pStyle w:val="tabletext"/>
                                    <w:jc w:val="center"/>
                                    <w:rPr>
                                      <w:szCs w:val="18"/>
                                    </w:rPr>
                                  </w:pPr>
                                  <w:r w:rsidRPr="00036D9C">
                                    <w:rPr>
                                      <w:szCs w:val="18"/>
                                    </w:rPr>
                                    <w:t>374637N</w:t>
                                  </w:r>
                                </w:p>
                                <w:p w:rsidR="00E659D3" w:rsidRPr="00036D9C" w:rsidRDefault="00E659D3" w:rsidP="00980F72">
                                  <w:pPr>
                                    <w:pStyle w:val="tabletext"/>
                                    <w:jc w:val="center"/>
                                    <w:rPr>
                                      <w:szCs w:val="18"/>
                                    </w:rPr>
                                  </w:pPr>
                                  <w:r w:rsidRPr="00036D9C">
                                    <w:rPr>
                                      <w:szCs w:val="18"/>
                                    </w:rPr>
                                    <w:t>870653W</w:t>
                                  </w:r>
                                </w:p>
                              </w:tc>
                              <w:tc>
                                <w:tcPr>
                                  <w:tcW w:w="1170" w:type="dxa"/>
                                  <w:vAlign w:val="center"/>
                                </w:tcPr>
                                <w:p w:rsidR="00E659D3" w:rsidRPr="00036D9C" w:rsidRDefault="00E659D3" w:rsidP="00980F72">
                                  <w:pPr>
                                    <w:pStyle w:val="tabletext"/>
                                    <w:jc w:val="center"/>
                                    <w:rPr>
                                      <w:szCs w:val="18"/>
                                    </w:rPr>
                                  </w:pPr>
                                  <w:r w:rsidRPr="00036D9C">
                                    <w:rPr>
                                      <w:szCs w:val="18"/>
                                    </w:rPr>
                                    <w:t>374634N</w:t>
                                  </w:r>
                                </w:p>
                                <w:p w:rsidR="00E659D3" w:rsidRPr="00036D9C" w:rsidRDefault="00E659D3" w:rsidP="00980F72">
                                  <w:pPr>
                                    <w:pStyle w:val="tabletext"/>
                                    <w:jc w:val="center"/>
                                    <w:rPr>
                                      <w:szCs w:val="18"/>
                                    </w:rPr>
                                  </w:pPr>
                                  <w:r w:rsidRPr="00036D9C">
                                    <w:rPr>
                                      <w:szCs w:val="18"/>
                                    </w:rPr>
                                    <w:t>870632W</w:t>
                                  </w:r>
                                </w:p>
                              </w:tc>
                              <w:tc>
                                <w:tcPr>
                                  <w:tcW w:w="1170" w:type="dxa"/>
                                  <w:vAlign w:val="center"/>
                                </w:tcPr>
                                <w:p w:rsidR="00E659D3" w:rsidRPr="00036D9C" w:rsidRDefault="00E659D3" w:rsidP="00980F72">
                                  <w:pPr>
                                    <w:pStyle w:val="tabletext"/>
                                    <w:jc w:val="center"/>
                                    <w:rPr>
                                      <w:szCs w:val="18"/>
                                    </w:rPr>
                                  </w:pPr>
                                  <w:r w:rsidRPr="00036D9C">
                                    <w:rPr>
                                      <w:szCs w:val="18"/>
                                    </w:rPr>
                                    <w:t>374634N</w:t>
                                  </w:r>
                                </w:p>
                                <w:p w:rsidR="00E659D3" w:rsidRPr="00036D9C" w:rsidRDefault="00E659D3" w:rsidP="00980F72">
                                  <w:pPr>
                                    <w:pStyle w:val="tabletext"/>
                                    <w:jc w:val="center"/>
                                    <w:rPr>
                                      <w:szCs w:val="18"/>
                                    </w:rPr>
                                  </w:pPr>
                                  <w:r w:rsidRPr="00036D9C">
                                    <w:rPr>
                                      <w:szCs w:val="18"/>
                                    </w:rPr>
                                    <w:t>870633W</w:t>
                                  </w:r>
                                </w:p>
                              </w:tc>
                            </w:tr>
                            <w:tr w:rsidR="00E659D3" w:rsidRPr="00036D9C" w:rsidTr="00980F72">
                              <w:trPr>
                                <w:trHeight w:val="125"/>
                              </w:trPr>
                              <w:tc>
                                <w:tcPr>
                                  <w:tcW w:w="1868" w:type="dxa"/>
                                  <w:vAlign w:val="center"/>
                                </w:tcPr>
                                <w:p w:rsidR="00E659D3" w:rsidRPr="00036D9C" w:rsidRDefault="00E659D3" w:rsidP="00980F72">
                                  <w:pPr>
                                    <w:pStyle w:val="tabletext"/>
                                    <w:rPr>
                                      <w:b/>
                                      <w:szCs w:val="18"/>
                                    </w:rPr>
                                  </w:pPr>
                                  <w:r w:rsidRPr="00036D9C">
                                    <w:rPr>
                                      <w:b/>
                                      <w:szCs w:val="18"/>
                                    </w:rPr>
                                    <w:t xml:space="preserve">d. </w:t>
                                  </w:r>
                                  <w:r w:rsidRPr="00036D9C">
                                    <w:rPr>
                                      <w:szCs w:val="18"/>
                                    </w:rPr>
                                    <w:t>Receiving Water</w:t>
                                  </w:r>
                                </w:p>
                              </w:tc>
                              <w:tc>
                                <w:tcPr>
                                  <w:tcW w:w="540" w:type="dxa"/>
                                  <w:vAlign w:val="center"/>
                                </w:tcPr>
                                <w:p w:rsidR="00E659D3" w:rsidRPr="00036D9C" w:rsidRDefault="00E659D3" w:rsidP="00980F72">
                                  <w:pPr>
                                    <w:pStyle w:val="tabletext"/>
                                    <w:jc w:val="center"/>
                                    <w:rPr>
                                      <w:b/>
                                      <w:szCs w:val="18"/>
                                    </w:rPr>
                                  </w:pPr>
                                  <w:r w:rsidRPr="00036D9C">
                                    <w:rPr>
                                      <w:b/>
                                      <w:szCs w:val="18"/>
                                    </w:rPr>
                                    <w:t>9d</w:t>
                                  </w:r>
                                </w:p>
                              </w:tc>
                              <w:tc>
                                <w:tcPr>
                                  <w:tcW w:w="1260" w:type="dxa"/>
                                  <w:vAlign w:val="center"/>
                                </w:tcPr>
                                <w:p w:rsidR="00E659D3" w:rsidRPr="00036D9C" w:rsidRDefault="00E659D3" w:rsidP="00980F72">
                                  <w:pPr>
                                    <w:pStyle w:val="tabletext"/>
                                    <w:jc w:val="center"/>
                                    <w:rPr>
                                      <w:szCs w:val="18"/>
                                    </w:rPr>
                                  </w:pPr>
                                  <w:r w:rsidRPr="00036D9C">
                                    <w:rPr>
                                      <w:szCs w:val="18"/>
                                    </w:rPr>
                                    <w:t>Green River</w:t>
                                  </w:r>
                                </w:p>
                              </w:tc>
                              <w:tc>
                                <w:tcPr>
                                  <w:tcW w:w="1170" w:type="dxa"/>
                                  <w:vAlign w:val="center"/>
                                </w:tcPr>
                                <w:p w:rsidR="00E659D3" w:rsidRPr="00036D9C" w:rsidRDefault="00E659D3" w:rsidP="00980F72">
                                  <w:pPr>
                                    <w:pStyle w:val="tabletext"/>
                                    <w:jc w:val="center"/>
                                    <w:rPr>
                                      <w:szCs w:val="18"/>
                                    </w:rPr>
                                  </w:pPr>
                                  <w:r w:rsidRPr="00036D9C">
                                    <w:rPr>
                                      <w:szCs w:val="18"/>
                                    </w:rPr>
                                    <w:t>Green River</w:t>
                                  </w:r>
                                </w:p>
                              </w:tc>
                              <w:tc>
                                <w:tcPr>
                                  <w:tcW w:w="1170" w:type="dxa"/>
                                  <w:vAlign w:val="center"/>
                                </w:tcPr>
                                <w:p w:rsidR="00E659D3" w:rsidRPr="00036D9C" w:rsidRDefault="00E659D3" w:rsidP="00980F72">
                                  <w:pPr>
                                    <w:pStyle w:val="tabletext"/>
                                    <w:jc w:val="center"/>
                                    <w:rPr>
                                      <w:szCs w:val="18"/>
                                    </w:rPr>
                                  </w:pPr>
                                  <w:r w:rsidRPr="00036D9C">
                                    <w:rPr>
                                      <w:szCs w:val="18"/>
                                    </w:rPr>
                                    <w:t>Green River</w:t>
                                  </w:r>
                                </w:p>
                              </w:tc>
                            </w:tr>
                          </w:tbl>
                          <w:p w:rsidR="00E659D3" w:rsidRPr="00036D9C" w:rsidRDefault="00E659D3">
                            <w:pPr>
                              <w:rPr>
                                <w:sz w:val="18"/>
                                <w:szCs w:val="18"/>
                              </w:rPr>
                            </w:pPr>
                          </w:p>
                          <w:p w:rsidR="00E659D3" w:rsidRPr="00450DCE" w:rsidRDefault="00E659D3" w:rsidP="00450DCE">
                            <w:pPr>
                              <w:pStyle w:val="Caption"/>
                              <w:rPr>
                                <w:szCs w:val="20"/>
                              </w:rPr>
                            </w:pPr>
                            <w:r w:rsidRPr="00450DCE">
                              <w:rPr>
                                <w:szCs w:val="20"/>
                              </w:rPr>
                              <w:t>Example: Line 10 – CSS Information</w:t>
                            </w:r>
                          </w:p>
                          <w:tbl>
                            <w:tblPr>
                              <w:tblOverlap w:val="never"/>
                              <w:tblW w:w="6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Grid>
                              <w:gridCol w:w="1890"/>
                              <w:gridCol w:w="540"/>
                              <w:gridCol w:w="1260"/>
                              <w:gridCol w:w="1170"/>
                              <w:gridCol w:w="1170"/>
                            </w:tblGrid>
                            <w:tr w:rsidR="00E659D3" w:rsidRPr="00036D9C" w:rsidTr="00450DCE">
                              <w:trPr>
                                <w:trHeight w:val="263"/>
                              </w:trPr>
                              <w:tc>
                                <w:tcPr>
                                  <w:tcW w:w="1890" w:type="dxa"/>
                                  <w:tcBorders>
                                    <w:top w:val="single" w:sz="4" w:space="0" w:color="auto"/>
                                    <w:left w:val="single" w:sz="4" w:space="0" w:color="auto"/>
                                    <w:bottom w:val="single" w:sz="4" w:space="0" w:color="auto"/>
                                    <w:right w:val="single" w:sz="4" w:space="0" w:color="auto"/>
                                  </w:tcBorders>
                                  <w:vAlign w:val="bottom"/>
                                </w:tcPr>
                                <w:p w:rsidR="00E659D3" w:rsidRPr="00036D9C" w:rsidRDefault="00E659D3" w:rsidP="00366F34">
                                  <w:pPr>
                                    <w:pStyle w:val="tabletext"/>
                                    <w:jc w:val="center"/>
                                    <w:rPr>
                                      <w:b/>
                                      <w:szCs w:val="18"/>
                                    </w:rPr>
                                  </w:pPr>
                                  <w:r w:rsidRPr="00036D9C">
                                    <w:rPr>
                                      <w:b/>
                                      <w:szCs w:val="18"/>
                                    </w:rPr>
                                    <w:br w:type="column"/>
                                  </w:r>
                                </w:p>
                              </w:tc>
                              <w:tc>
                                <w:tcPr>
                                  <w:tcW w:w="540" w:type="dxa"/>
                                  <w:tcBorders>
                                    <w:top w:val="single" w:sz="4" w:space="0" w:color="auto"/>
                                    <w:left w:val="single" w:sz="4" w:space="0" w:color="auto"/>
                                    <w:right w:val="single" w:sz="4" w:space="0" w:color="auto"/>
                                  </w:tcBorders>
                                  <w:vAlign w:val="bottom"/>
                                </w:tcPr>
                                <w:p w:rsidR="00E659D3" w:rsidRPr="00036D9C" w:rsidRDefault="00E659D3" w:rsidP="00366F34">
                                  <w:pPr>
                                    <w:pStyle w:val="tabletext"/>
                                    <w:jc w:val="center"/>
                                    <w:rPr>
                                      <w:b/>
                                      <w:szCs w:val="18"/>
                                    </w:rPr>
                                  </w:pPr>
                                </w:p>
                              </w:tc>
                              <w:tc>
                                <w:tcPr>
                                  <w:tcW w:w="1260" w:type="dxa"/>
                                  <w:tcBorders>
                                    <w:top w:val="single" w:sz="4" w:space="0" w:color="auto"/>
                                    <w:left w:val="single" w:sz="4" w:space="0" w:color="auto"/>
                                    <w:right w:val="single" w:sz="4" w:space="0" w:color="auto"/>
                                  </w:tcBorders>
                                  <w:vAlign w:val="bottom"/>
                                </w:tcPr>
                                <w:p w:rsidR="00E659D3" w:rsidRPr="00036D9C" w:rsidRDefault="00E659D3" w:rsidP="00366F34">
                                  <w:pPr>
                                    <w:pStyle w:val="tabletext"/>
                                    <w:jc w:val="center"/>
                                    <w:rPr>
                                      <w:b/>
                                      <w:szCs w:val="18"/>
                                    </w:rPr>
                                  </w:pPr>
                                  <w:r w:rsidRPr="00036D9C">
                                    <w:rPr>
                                      <w:b/>
                                      <w:szCs w:val="18"/>
                                    </w:rPr>
                                    <w:t>CSO 001</w:t>
                                  </w:r>
                                </w:p>
                              </w:tc>
                              <w:tc>
                                <w:tcPr>
                                  <w:tcW w:w="1170" w:type="dxa"/>
                                  <w:tcBorders>
                                    <w:top w:val="single" w:sz="4" w:space="0" w:color="auto"/>
                                    <w:left w:val="single" w:sz="4" w:space="0" w:color="auto"/>
                                    <w:right w:val="single" w:sz="4" w:space="0" w:color="auto"/>
                                  </w:tcBorders>
                                  <w:vAlign w:val="bottom"/>
                                </w:tcPr>
                                <w:p w:rsidR="00E659D3" w:rsidRPr="00036D9C" w:rsidRDefault="00E659D3" w:rsidP="00366F34">
                                  <w:pPr>
                                    <w:pStyle w:val="tabletext"/>
                                    <w:jc w:val="center"/>
                                    <w:rPr>
                                      <w:b/>
                                      <w:szCs w:val="18"/>
                                    </w:rPr>
                                  </w:pPr>
                                  <w:r w:rsidRPr="00036D9C">
                                    <w:rPr>
                                      <w:b/>
                                      <w:szCs w:val="18"/>
                                    </w:rPr>
                                    <w:t>CSO 002</w:t>
                                  </w:r>
                                </w:p>
                              </w:tc>
                              <w:tc>
                                <w:tcPr>
                                  <w:tcW w:w="1170" w:type="dxa"/>
                                  <w:tcBorders>
                                    <w:top w:val="single" w:sz="4" w:space="0" w:color="auto"/>
                                    <w:left w:val="single" w:sz="4" w:space="0" w:color="auto"/>
                                    <w:right w:val="single" w:sz="4" w:space="0" w:color="auto"/>
                                  </w:tcBorders>
                                  <w:vAlign w:val="bottom"/>
                                </w:tcPr>
                                <w:p w:rsidR="00E659D3" w:rsidRPr="00036D9C" w:rsidRDefault="00E659D3" w:rsidP="00366F34">
                                  <w:pPr>
                                    <w:pStyle w:val="tabletext"/>
                                    <w:jc w:val="center"/>
                                    <w:rPr>
                                      <w:b/>
                                      <w:szCs w:val="18"/>
                                    </w:rPr>
                                  </w:pPr>
                                  <w:r w:rsidRPr="00036D9C">
                                    <w:rPr>
                                      <w:b/>
                                      <w:szCs w:val="18"/>
                                    </w:rPr>
                                    <w:t>CSO 003</w:t>
                                  </w:r>
                                </w:p>
                              </w:tc>
                            </w:tr>
                            <w:tr w:rsidR="00E659D3" w:rsidRPr="00036D9C" w:rsidTr="00980F72">
                              <w:trPr>
                                <w:trHeight w:val="377"/>
                              </w:trPr>
                              <w:tc>
                                <w:tcPr>
                                  <w:tcW w:w="1890" w:type="dxa"/>
                                  <w:vAlign w:val="center"/>
                                </w:tcPr>
                                <w:p w:rsidR="00E659D3" w:rsidRPr="00036D9C" w:rsidRDefault="00E659D3" w:rsidP="00980F72">
                                  <w:pPr>
                                    <w:pStyle w:val="tabletext"/>
                                    <w:rPr>
                                      <w:b/>
                                      <w:szCs w:val="18"/>
                                    </w:rPr>
                                  </w:pPr>
                                  <w:r w:rsidRPr="00036D9C">
                                    <w:rPr>
                                      <w:b/>
                                      <w:szCs w:val="18"/>
                                    </w:rPr>
                                    <w:t xml:space="preserve">a. </w:t>
                                  </w:r>
                                  <w:r w:rsidRPr="00036D9C">
                                    <w:rPr>
                                      <w:szCs w:val="18"/>
                                    </w:rPr>
                                    <w:t>Sub-sewershed area (acres)</w:t>
                                  </w:r>
                                </w:p>
                              </w:tc>
                              <w:tc>
                                <w:tcPr>
                                  <w:tcW w:w="540" w:type="dxa"/>
                                  <w:vAlign w:val="center"/>
                                </w:tcPr>
                                <w:p w:rsidR="00E659D3" w:rsidRPr="00036D9C" w:rsidRDefault="00E659D3" w:rsidP="00980F72">
                                  <w:pPr>
                                    <w:pStyle w:val="tabletext"/>
                                    <w:jc w:val="center"/>
                                    <w:rPr>
                                      <w:b/>
                                      <w:szCs w:val="18"/>
                                    </w:rPr>
                                  </w:pPr>
                                  <w:r w:rsidRPr="00036D9C">
                                    <w:rPr>
                                      <w:b/>
                                      <w:szCs w:val="18"/>
                                    </w:rPr>
                                    <w:t>10a</w:t>
                                  </w:r>
                                </w:p>
                              </w:tc>
                              <w:tc>
                                <w:tcPr>
                                  <w:tcW w:w="1260" w:type="dxa"/>
                                  <w:vAlign w:val="center"/>
                                </w:tcPr>
                                <w:p w:rsidR="00E659D3" w:rsidRPr="00036D9C" w:rsidRDefault="00E659D3" w:rsidP="00980F72">
                                  <w:pPr>
                                    <w:pStyle w:val="tabletext"/>
                                    <w:jc w:val="center"/>
                                    <w:rPr>
                                      <w:szCs w:val="18"/>
                                    </w:rPr>
                                  </w:pPr>
                                  <w:r w:rsidRPr="00036D9C">
                                    <w:rPr>
                                      <w:szCs w:val="18"/>
                                    </w:rPr>
                                    <w:t>105</w:t>
                                  </w:r>
                                </w:p>
                              </w:tc>
                              <w:tc>
                                <w:tcPr>
                                  <w:tcW w:w="1170" w:type="dxa"/>
                                  <w:vAlign w:val="center"/>
                                </w:tcPr>
                                <w:p w:rsidR="00E659D3" w:rsidRPr="00036D9C" w:rsidRDefault="00E659D3" w:rsidP="00980F72">
                                  <w:pPr>
                                    <w:pStyle w:val="tabletext"/>
                                    <w:jc w:val="center"/>
                                    <w:rPr>
                                      <w:szCs w:val="18"/>
                                    </w:rPr>
                                  </w:pPr>
                                  <w:r w:rsidRPr="00036D9C">
                                    <w:rPr>
                                      <w:szCs w:val="18"/>
                                    </w:rPr>
                                    <w:t>85</w:t>
                                  </w:r>
                                </w:p>
                              </w:tc>
                              <w:tc>
                                <w:tcPr>
                                  <w:tcW w:w="1170" w:type="dxa"/>
                                  <w:vAlign w:val="center"/>
                                </w:tcPr>
                                <w:p w:rsidR="00E659D3" w:rsidRPr="00036D9C" w:rsidRDefault="00E659D3" w:rsidP="00980F72">
                                  <w:pPr>
                                    <w:pStyle w:val="tabletext"/>
                                    <w:jc w:val="center"/>
                                    <w:rPr>
                                      <w:szCs w:val="18"/>
                                    </w:rPr>
                                  </w:pPr>
                                  <w:r w:rsidRPr="00036D9C">
                                    <w:rPr>
                                      <w:szCs w:val="18"/>
                                    </w:rPr>
                                    <w:t>112</w:t>
                                  </w:r>
                                </w:p>
                              </w:tc>
                            </w:tr>
                            <w:tr w:rsidR="00E659D3" w:rsidRPr="00036D9C" w:rsidTr="00980F72">
                              <w:trPr>
                                <w:trHeight w:val="436"/>
                              </w:trPr>
                              <w:tc>
                                <w:tcPr>
                                  <w:tcW w:w="1890" w:type="dxa"/>
                                  <w:vAlign w:val="center"/>
                                </w:tcPr>
                                <w:p w:rsidR="00E659D3" w:rsidRPr="00036D9C" w:rsidRDefault="00E659D3" w:rsidP="00980F72">
                                  <w:pPr>
                                    <w:pStyle w:val="tabletext"/>
                                    <w:rPr>
                                      <w:b/>
                                      <w:szCs w:val="18"/>
                                    </w:rPr>
                                  </w:pPr>
                                  <w:r w:rsidRPr="00036D9C">
                                    <w:rPr>
                                      <w:b/>
                                      <w:szCs w:val="18"/>
                                    </w:rPr>
                                    <w:t xml:space="preserve">b. </w:t>
                                  </w:r>
                                  <w:r w:rsidRPr="00036D9C">
                                    <w:rPr>
                                      <w:szCs w:val="18"/>
                                    </w:rPr>
                                    <w:t>Principal land use</w:t>
                                  </w:r>
                                </w:p>
                              </w:tc>
                              <w:tc>
                                <w:tcPr>
                                  <w:tcW w:w="540" w:type="dxa"/>
                                  <w:vAlign w:val="center"/>
                                </w:tcPr>
                                <w:p w:rsidR="00E659D3" w:rsidRPr="00036D9C" w:rsidRDefault="00E659D3" w:rsidP="00980F72">
                                  <w:pPr>
                                    <w:pStyle w:val="tabletext"/>
                                    <w:jc w:val="center"/>
                                    <w:rPr>
                                      <w:b/>
                                      <w:szCs w:val="18"/>
                                    </w:rPr>
                                  </w:pPr>
                                  <w:r w:rsidRPr="00036D9C">
                                    <w:rPr>
                                      <w:b/>
                                      <w:szCs w:val="18"/>
                                    </w:rPr>
                                    <w:t>10b</w:t>
                                  </w:r>
                                </w:p>
                              </w:tc>
                              <w:tc>
                                <w:tcPr>
                                  <w:tcW w:w="1260" w:type="dxa"/>
                                  <w:vAlign w:val="center"/>
                                </w:tcPr>
                                <w:p w:rsidR="00E659D3" w:rsidRPr="00036D9C" w:rsidRDefault="00E659D3" w:rsidP="00980F72">
                                  <w:pPr>
                                    <w:pStyle w:val="tabletext"/>
                                    <w:jc w:val="center"/>
                                    <w:rPr>
                                      <w:szCs w:val="18"/>
                                    </w:rPr>
                                  </w:pPr>
                                  <w:r w:rsidRPr="00036D9C">
                                    <w:rPr>
                                      <w:szCs w:val="18"/>
                                    </w:rPr>
                                    <w:t>Medium-Density Residential</w:t>
                                  </w:r>
                                </w:p>
                              </w:tc>
                              <w:tc>
                                <w:tcPr>
                                  <w:tcW w:w="1170" w:type="dxa"/>
                                  <w:vAlign w:val="center"/>
                                </w:tcPr>
                                <w:p w:rsidR="00E659D3" w:rsidRPr="00036D9C" w:rsidRDefault="00E659D3" w:rsidP="00980F72">
                                  <w:pPr>
                                    <w:pStyle w:val="tabletext"/>
                                    <w:jc w:val="center"/>
                                    <w:rPr>
                                      <w:szCs w:val="18"/>
                                    </w:rPr>
                                  </w:pPr>
                                  <w:r w:rsidRPr="00036D9C">
                                    <w:rPr>
                                      <w:szCs w:val="18"/>
                                    </w:rPr>
                                    <w:t>High-Density Residential</w:t>
                                  </w:r>
                                </w:p>
                              </w:tc>
                              <w:tc>
                                <w:tcPr>
                                  <w:tcW w:w="1170" w:type="dxa"/>
                                  <w:vAlign w:val="center"/>
                                </w:tcPr>
                                <w:p w:rsidR="00E659D3" w:rsidRPr="00036D9C" w:rsidRDefault="00E659D3" w:rsidP="00980F72">
                                  <w:pPr>
                                    <w:pStyle w:val="tabletext"/>
                                    <w:jc w:val="center"/>
                                    <w:rPr>
                                      <w:szCs w:val="18"/>
                                    </w:rPr>
                                  </w:pPr>
                                  <w:r w:rsidRPr="00036D9C">
                                    <w:rPr>
                                      <w:szCs w:val="18"/>
                                    </w:rPr>
                                    <w:t>Mixed Use</w:t>
                                  </w:r>
                                </w:p>
                              </w:tc>
                            </w:tr>
                          </w:tbl>
                          <w:p w:rsidR="00E659D3" w:rsidRDefault="00E659D3" w:rsidP="00366F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margin-left:0;margin-top:0;width:316.5pt;height:227.2pt;z-index:25164646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" stroked="f">
                <v:textbox>
                  <w:txbxContent>
                    <w:p w:rsidR="00E659D3" w:rsidRPr="00450DCE" w:rsidRDefault="00E659D3" w:rsidP="009D74AC">
                      <w:pPr>
                        <w:pStyle w:val="Caption"/>
                        <w:rPr>
                          <w:szCs w:val="20"/>
                        </w:rPr>
                      </w:pPr>
                      <w:r w:rsidRPr="00450DCE">
                        <w:rPr>
                          <w:szCs w:val="20"/>
                        </w:rPr>
                        <w:t>Example: Line 9 – CSO Information</w:t>
                      </w:r>
                    </w:p>
                    <w:tbl>
                      <w:tblPr>
                        <w:tblOverlap w:val="never"/>
                        <w:tblW w:w="6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Look w:val="0000" w:firstRow="0" w:lastRow="0" w:firstColumn="0" w:lastColumn="0" w:noHBand="0" w:noVBand="0"/>
                      </w:tblPr>
                      <w:tblGrid>
                        <w:gridCol w:w="1868"/>
                        <w:gridCol w:w="540"/>
                        <w:gridCol w:w="1260"/>
                        <w:gridCol w:w="1170"/>
                        <w:gridCol w:w="1170"/>
                      </w:tblGrid>
                      <w:tr w:rsidR="00E659D3" w:rsidRPr="00036D9C" w:rsidTr="00980F72">
                        <w:trPr>
                          <w:trHeight w:val="215"/>
                        </w:trPr>
                        <w:tc>
                          <w:tcPr>
                            <w:tcW w:w="1868" w:type="dxa"/>
                            <w:vAlign w:val="center"/>
                          </w:tcPr>
                          <w:p w:rsidR="00E659D3" w:rsidRPr="00036D9C" w:rsidRDefault="00E659D3" w:rsidP="00980F72">
                            <w:pPr>
                              <w:pStyle w:val="tabletext"/>
                              <w:rPr>
                                <w:b/>
                                <w:szCs w:val="18"/>
                              </w:rPr>
                            </w:pPr>
                            <w:r w:rsidRPr="00036D9C">
                              <w:rPr>
                                <w:b/>
                                <w:szCs w:val="18"/>
                              </w:rPr>
                              <w:t xml:space="preserve">a. </w:t>
                            </w:r>
                            <w:r w:rsidRPr="00036D9C">
                              <w:rPr>
                                <w:szCs w:val="18"/>
                              </w:rPr>
                              <w:t>Permitted CSO number</w:t>
                            </w:r>
                          </w:p>
                        </w:tc>
                        <w:tc>
                          <w:tcPr>
                            <w:tcW w:w="540" w:type="dxa"/>
                            <w:vAlign w:val="center"/>
                          </w:tcPr>
                          <w:p w:rsidR="00E659D3" w:rsidRPr="00036D9C" w:rsidRDefault="00E659D3" w:rsidP="00980F72">
                            <w:pPr>
                              <w:pStyle w:val="tabletext"/>
                              <w:jc w:val="center"/>
                              <w:rPr>
                                <w:b/>
                                <w:szCs w:val="18"/>
                              </w:rPr>
                            </w:pPr>
                            <w:r w:rsidRPr="00036D9C">
                              <w:rPr>
                                <w:b/>
                                <w:szCs w:val="18"/>
                              </w:rPr>
                              <w:t>9a</w:t>
                            </w:r>
                          </w:p>
                        </w:tc>
                        <w:tc>
                          <w:tcPr>
                            <w:tcW w:w="1260" w:type="dxa"/>
                            <w:vAlign w:val="center"/>
                          </w:tcPr>
                          <w:p w:rsidR="00E659D3" w:rsidRPr="00036D9C" w:rsidRDefault="00E659D3" w:rsidP="00980F72">
                            <w:pPr>
                              <w:pStyle w:val="tabletext"/>
                              <w:jc w:val="center"/>
                              <w:rPr>
                                <w:szCs w:val="18"/>
                              </w:rPr>
                            </w:pPr>
                            <w:r w:rsidRPr="00036D9C">
                              <w:rPr>
                                <w:szCs w:val="18"/>
                              </w:rPr>
                              <w:t>001</w:t>
                            </w:r>
                          </w:p>
                        </w:tc>
                        <w:tc>
                          <w:tcPr>
                            <w:tcW w:w="1170" w:type="dxa"/>
                            <w:vAlign w:val="center"/>
                          </w:tcPr>
                          <w:p w:rsidR="00E659D3" w:rsidRPr="00036D9C" w:rsidRDefault="00E659D3" w:rsidP="00980F72">
                            <w:pPr>
                              <w:pStyle w:val="tabletext"/>
                              <w:jc w:val="center"/>
                              <w:rPr>
                                <w:szCs w:val="18"/>
                              </w:rPr>
                            </w:pPr>
                            <w:r w:rsidRPr="00036D9C">
                              <w:rPr>
                                <w:szCs w:val="18"/>
                              </w:rPr>
                              <w:t>002</w:t>
                            </w:r>
                          </w:p>
                        </w:tc>
                        <w:tc>
                          <w:tcPr>
                            <w:tcW w:w="1170" w:type="dxa"/>
                            <w:vAlign w:val="center"/>
                          </w:tcPr>
                          <w:p w:rsidR="00E659D3" w:rsidRPr="00036D9C" w:rsidRDefault="00E659D3" w:rsidP="00980F72">
                            <w:pPr>
                              <w:pStyle w:val="tabletext"/>
                              <w:jc w:val="center"/>
                              <w:rPr>
                                <w:szCs w:val="18"/>
                              </w:rPr>
                            </w:pPr>
                            <w:r w:rsidRPr="00036D9C">
                              <w:rPr>
                                <w:szCs w:val="18"/>
                              </w:rPr>
                              <w:t>003</w:t>
                            </w:r>
                          </w:p>
                        </w:tc>
                      </w:tr>
                      <w:tr w:rsidR="00E659D3" w:rsidRPr="00036D9C" w:rsidTr="00980F72">
                        <w:trPr>
                          <w:trHeight w:val="80"/>
                        </w:trPr>
                        <w:tc>
                          <w:tcPr>
                            <w:tcW w:w="1868" w:type="dxa"/>
                            <w:vAlign w:val="center"/>
                          </w:tcPr>
                          <w:p w:rsidR="00E659D3" w:rsidRPr="00036D9C" w:rsidRDefault="00E659D3" w:rsidP="00980F72">
                            <w:pPr>
                              <w:pStyle w:val="tabletext"/>
                              <w:rPr>
                                <w:b/>
                                <w:szCs w:val="18"/>
                              </w:rPr>
                            </w:pPr>
                            <w:r w:rsidRPr="00036D9C">
                              <w:rPr>
                                <w:b/>
                                <w:szCs w:val="18"/>
                              </w:rPr>
                              <w:t xml:space="preserve">b. </w:t>
                            </w:r>
                            <w:r w:rsidRPr="00036D9C">
                              <w:rPr>
                                <w:szCs w:val="18"/>
                              </w:rPr>
                              <w:t>Description of location</w:t>
                            </w:r>
                          </w:p>
                        </w:tc>
                        <w:tc>
                          <w:tcPr>
                            <w:tcW w:w="540" w:type="dxa"/>
                            <w:vAlign w:val="center"/>
                          </w:tcPr>
                          <w:p w:rsidR="00E659D3" w:rsidRPr="00036D9C" w:rsidRDefault="00E659D3" w:rsidP="00980F72">
                            <w:pPr>
                              <w:pStyle w:val="tabletext"/>
                              <w:jc w:val="center"/>
                              <w:rPr>
                                <w:b/>
                                <w:szCs w:val="18"/>
                              </w:rPr>
                            </w:pPr>
                            <w:r w:rsidRPr="00036D9C">
                              <w:rPr>
                                <w:b/>
                                <w:szCs w:val="18"/>
                              </w:rPr>
                              <w:t>9b</w:t>
                            </w:r>
                          </w:p>
                        </w:tc>
                        <w:tc>
                          <w:tcPr>
                            <w:tcW w:w="1260" w:type="dxa"/>
                            <w:vAlign w:val="center"/>
                          </w:tcPr>
                          <w:p w:rsidR="00E659D3" w:rsidRPr="00036D9C" w:rsidRDefault="00E659D3" w:rsidP="00980F72">
                            <w:pPr>
                              <w:pStyle w:val="tabletext"/>
                              <w:jc w:val="center"/>
                              <w:rPr>
                                <w:szCs w:val="18"/>
                              </w:rPr>
                            </w:pPr>
                            <w:r w:rsidRPr="00036D9C">
                              <w:rPr>
                                <w:szCs w:val="18"/>
                              </w:rPr>
                              <w:t>Foot of King Street</w:t>
                            </w:r>
                          </w:p>
                        </w:tc>
                        <w:tc>
                          <w:tcPr>
                            <w:tcW w:w="1170" w:type="dxa"/>
                            <w:vAlign w:val="center"/>
                          </w:tcPr>
                          <w:p w:rsidR="00E659D3" w:rsidRPr="00036D9C" w:rsidRDefault="00E659D3" w:rsidP="00980F72">
                            <w:pPr>
                              <w:pStyle w:val="tabletext"/>
                              <w:jc w:val="center"/>
                              <w:rPr>
                                <w:szCs w:val="18"/>
                              </w:rPr>
                            </w:pPr>
                            <w:r w:rsidRPr="00036D9C">
                              <w:rPr>
                                <w:szCs w:val="18"/>
                              </w:rPr>
                              <w:t>Near Main Street</w:t>
                            </w:r>
                          </w:p>
                        </w:tc>
                        <w:tc>
                          <w:tcPr>
                            <w:tcW w:w="1170" w:type="dxa"/>
                            <w:vAlign w:val="center"/>
                          </w:tcPr>
                          <w:p w:rsidR="00E659D3" w:rsidRPr="00036D9C" w:rsidRDefault="00E659D3" w:rsidP="00980F72">
                            <w:pPr>
                              <w:pStyle w:val="tabletext"/>
                              <w:jc w:val="center"/>
                              <w:rPr>
                                <w:szCs w:val="18"/>
                              </w:rPr>
                            </w:pPr>
                            <w:r w:rsidRPr="00036D9C">
                              <w:rPr>
                                <w:szCs w:val="18"/>
                              </w:rPr>
                              <w:t>Near Water Street</w:t>
                            </w:r>
                          </w:p>
                        </w:tc>
                      </w:tr>
                      <w:tr w:rsidR="00E659D3" w:rsidRPr="00036D9C" w:rsidTr="00980F72">
                        <w:trPr>
                          <w:trHeight w:val="98"/>
                        </w:trPr>
                        <w:tc>
                          <w:tcPr>
                            <w:tcW w:w="1868" w:type="dxa"/>
                            <w:vAlign w:val="center"/>
                          </w:tcPr>
                          <w:p w:rsidR="00E659D3" w:rsidRPr="00036D9C" w:rsidRDefault="00E659D3" w:rsidP="00980F72">
                            <w:pPr>
                              <w:pStyle w:val="tabletext"/>
                              <w:rPr>
                                <w:b/>
                                <w:szCs w:val="18"/>
                              </w:rPr>
                            </w:pPr>
                            <w:r w:rsidRPr="00036D9C">
                              <w:rPr>
                                <w:b/>
                                <w:szCs w:val="18"/>
                              </w:rPr>
                              <w:t xml:space="preserve">c. </w:t>
                            </w:r>
                            <w:r w:rsidRPr="00036D9C">
                              <w:rPr>
                                <w:szCs w:val="18"/>
                              </w:rPr>
                              <w:t>Latitude/Longitude</w:t>
                            </w:r>
                          </w:p>
                        </w:tc>
                        <w:tc>
                          <w:tcPr>
                            <w:tcW w:w="540" w:type="dxa"/>
                            <w:vAlign w:val="center"/>
                          </w:tcPr>
                          <w:p w:rsidR="00E659D3" w:rsidRPr="00036D9C" w:rsidRDefault="00E659D3" w:rsidP="00980F72">
                            <w:pPr>
                              <w:pStyle w:val="tabletext"/>
                              <w:jc w:val="center"/>
                              <w:rPr>
                                <w:b/>
                                <w:szCs w:val="18"/>
                              </w:rPr>
                            </w:pPr>
                            <w:r w:rsidRPr="00036D9C">
                              <w:rPr>
                                <w:b/>
                                <w:szCs w:val="18"/>
                              </w:rPr>
                              <w:t>9c</w:t>
                            </w:r>
                          </w:p>
                        </w:tc>
                        <w:tc>
                          <w:tcPr>
                            <w:tcW w:w="1260" w:type="dxa"/>
                            <w:vAlign w:val="center"/>
                          </w:tcPr>
                          <w:p w:rsidR="00E659D3" w:rsidRPr="00036D9C" w:rsidRDefault="00E659D3" w:rsidP="00980F72">
                            <w:pPr>
                              <w:pStyle w:val="tabletext"/>
                              <w:jc w:val="center"/>
                              <w:rPr>
                                <w:szCs w:val="18"/>
                              </w:rPr>
                            </w:pPr>
                            <w:r w:rsidRPr="00036D9C">
                              <w:rPr>
                                <w:szCs w:val="18"/>
                              </w:rPr>
                              <w:t>374637N</w:t>
                            </w:r>
                          </w:p>
                          <w:p w:rsidR="00E659D3" w:rsidRPr="00036D9C" w:rsidRDefault="00E659D3" w:rsidP="00980F72">
                            <w:pPr>
                              <w:pStyle w:val="tabletext"/>
                              <w:jc w:val="center"/>
                              <w:rPr>
                                <w:szCs w:val="18"/>
                              </w:rPr>
                            </w:pPr>
                            <w:r w:rsidRPr="00036D9C">
                              <w:rPr>
                                <w:szCs w:val="18"/>
                              </w:rPr>
                              <w:t>870653W</w:t>
                            </w:r>
                          </w:p>
                        </w:tc>
                        <w:tc>
                          <w:tcPr>
                            <w:tcW w:w="1170" w:type="dxa"/>
                            <w:vAlign w:val="center"/>
                          </w:tcPr>
                          <w:p w:rsidR="00E659D3" w:rsidRPr="00036D9C" w:rsidRDefault="00E659D3" w:rsidP="00980F72">
                            <w:pPr>
                              <w:pStyle w:val="tabletext"/>
                              <w:jc w:val="center"/>
                              <w:rPr>
                                <w:szCs w:val="18"/>
                              </w:rPr>
                            </w:pPr>
                            <w:r w:rsidRPr="00036D9C">
                              <w:rPr>
                                <w:szCs w:val="18"/>
                              </w:rPr>
                              <w:t>374634N</w:t>
                            </w:r>
                          </w:p>
                          <w:p w:rsidR="00E659D3" w:rsidRPr="00036D9C" w:rsidRDefault="00E659D3" w:rsidP="00980F72">
                            <w:pPr>
                              <w:pStyle w:val="tabletext"/>
                              <w:jc w:val="center"/>
                              <w:rPr>
                                <w:szCs w:val="18"/>
                              </w:rPr>
                            </w:pPr>
                            <w:r w:rsidRPr="00036D9C">
                              <w:rPr>
                                <w:szCs w:val="18"/>
                              </w:rPr>
                              <w:t>870632W</w:t>
                            </w:r>
                          </w:p>
                        </w:tc>
                        <w:tc>
                          <w:tcPr>
                            <w:tcW w:w="1170" w:type="dxa"/>
                            <w:vAlign w:val="center"/>
                          </w:tcPr>
                          <w:p w:rsidR="00E659D3" w:rsidRPr="00036D9C" w:rsidRDefault="00E659D3" w:rsidP="00980F72">
                            <w:pPr>
                              <w:pStyle w:val="tabletext"/>
                              <w:jc w:val="center"/>
                              <w:rPr>
                                <w:szCs w:val="18"/>
                              </w:rPr>
                            </w:pPr>
                            <w:r w:rsidRPr="00036D9C">
                              <w:rPr>
                                <w:szCs w:val="18"/>
                              </w:rPr>
                              <w:t>374634N</w:t>
                            </w:r>
                          </w:p>
                          <w:p w:rsidR="00E659D3" w:rsidRPr="00036D9C" w:rsidRDefault="00E659D3" w:rsidP="00980F72">
                            <w:pPr>
                              <w:pStyle w:val="tabletext"/>
                              <w:jc w:val="center"/>
                              <w:rPr>
                                <w:szCs w:val="18"/>
                              </w:rPr>
                            </w:pPr>
                            <w:r w:rsidRPr="00036D9C">
                              <w:rPr>
                                <w:szCs w:val="18"/>
                              </w:rPr>
                              <w:t>870633W</w:t>
                            </w:r>
                          </w:p>
                        </w:tc>
                      </w:tr>
                      <w:tr w:rsidR="00E659D3" w:rsidRPr="00036D9C" w:rsidTr="00980F72">
                        <w:trPr>
                          <w:trHeight w:val="125"/>
                        </w:trPr>
                        <w:tc>
                          <w:tcPr>
                            <w:tcW w:w="1868" w:type="dxa"/>
                            <w:vAlign w:val="center"/>
                          </w:tcPr>
                          <w:p w:rsidR="00E659D3" w:rsidRPr="00036D9C" w:rsidRDefault="00E659D3" w:rsidP="00980F72">
                            <w:pPr>
                              <w:pStyle w:val="tabletext"/>
                              <w:rPr>
                                <w:b/>
                                <w:szCs w:val="18"/>
                              </w:rPr>
                            </w:pPr>
                            <w:r w:rsidRPr="00036D9C">
                              <w:rPr>
                                <w:b/>
                                <w:szCs w:val="18"/>
                              </w:rPr>
                              <w:t xml:space="preserve">d. </w:t>
                            </w:r>
                            <w:r w:rsidRPr="00036D9C">
                              <w:rPr>
                                <w:szCs w:val="18"/>
                              </w:rPr>
                              <w:t>Receiving Water</w:t>
                            </w:r>
                          </w:p>
                        </w:tc>
                        <w:tc>
                          <w:tcPr>
                            <w:tcW w:w="540" w:type="dxa"/>
                            <w:vAlign w:val="center"/>
                          </w:tcPr>
                          <w:p w:rsidR="00E659D3" w:rsidRPr="00036D9C" w:rsidRDefault="00E659D3" w:rsidP="00980F72">
                            <w:pPr>
                              <w:pStyle w:val="tabletext"/>
                              <w:jc w:val="center"/>
                              <w:rPr>
                                <w:b/>
                                <w:szCs w:val="18"/>
                              </w:rPr>
                            </w:pPr>
                            <w:r w:rsidRPr="00036D9C">
                              <w:rPr>
                                <w:b/>
                                <w:szCs w:val="18"/>
                              </w:rPr>
                              <w:t>9d</w:t>
                            </w:r>
                          </w:p>
                        </w:tc>
                        <w:tc>
                          <w:tcPr>
                            <w:tcW w:w="1260" w:type="dxa"/>
                            <w:vAlign w:val="center"/>
                          </w:tcPr>
                          <w:p w:rsidR="00E659D3" w:rsidRPr="00036D9C" w:rsidRDefault="00E659D3" w:rsidP="00980F72">
                            <w:pPr>
                              <w:pStyle w:val="tabletext"/>
                              <w:jc w:val="center"/>
                              <w:rPr>
                                <w:szCs w:val="18"/>
                              </w:rPr>
                            </w:pPr>
                            <w:r w:rsidRPr="00036D9C">
                              <w:rPr>
                                <w:szCs w:val="18"/>
                              </w:rPr>
                              <w:t>Green River</w:t>
                            </w:r>
                          </w:p>
                        </w:tc>
                        <w:tc>
                          <w:tcPr>
                            <w:tcW w:w="1170" w:type="dxa"/>
                            <w:vAlign w:val="center"/>
                          </w:tcPr>
                          <w:p w:rsidR="00E659D3" w:rsidRPr="00036D9C" w:rsidRDefault="00E659D3" w:rsidP="00980F72">
                            <w:pPr>
                              <w:pStyle w:val="tabletext"/>
                              <w:jc w:val="center"/>
                              <w:rPr>
                                <w:szCs w:val="18"/>
                              </w:rPr>
                            </w:pPr>
                            <w:r w:rsidRPr="00036D9C">
                              <w:rPr>
                                <w:szCs w:val="18"/>
                              </w:rPr>
                              <w:t>Green River</w:t>
                            </w:r>
                          </w:p>
                        </w:tc>
                        <w:tc>
                          <w:tcPr>
                            <w:tcW w:w="1170" w:type="dxa"/>
                            <w:vAlign w:val="center"/>
                          </w:tcPr>
                          <w:p w:rsidR="00E659D3" w:rsidRPr="00036D9C" w:rsidRDefault="00E659D3" w:rsidP="00980F72">
                            <w:pPr>
                              <w:pStyle w:val="tabletext"/>
                              <w:jc w:val="center"/>
                              <w:rPr>
                                <w:szCs w:val="18"/>
                              </w:rPr>
                            </w:pPr>
                            <w:r w:rsidRPr="00036D9C">
                              <w:rPr>
                                <w:szCs w:val="18"/>
                              </w:rPr>
                              <w:t>Green River</w:t>
                            </w:r>
                          </w:p>
                        </w:tc>
                      </w:tr>
                    </w:tbl>
                    <w:p w:rsidR="00E659D3" w:rsidRPr="00036D9C" w:rsidRDefault="00E659D3">
                      <w:pPr>
                        <w:rPr>
                          <w:sz w:val="18"/>
                          <w:szCs w:val="18"/>
                        </w:rPr>
                      </w:pPr>
                    </w:p>
                    <w:p w:rsidR="00E659D3" w:rsidRPr="00450DCE" w:rsidRDefault="00E659D3" w:rsidP="00450DCE">
                      <w:pPr>
                        <w:pStyle w:val="Caption"/>
                        <w:rPr>
                          <w:szCs w:val="20"/>
                        </w:rPr>
                      </w:pPr>
                      <w:r w:rsidRPr="00450DCE">
                        <w:rPr>
                          <w:szCs w:val="20"/>
                        </w:rPr>
                        <w:t>Example: Line 10 – CSS Information</w:t>
                      </w:r>
                    </w:p>
                    <w:tbl>
                      <w:tblPr>
                        <w:tblOverlap w:val="never"/>
                        <w:tblW w:w="6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Grid>
                        <w:gridCol w:w="1890"/>
                        <w:gridCol w:w="540"/>
                        <w:gridCol w:w="1260"/>
                        <w:gridCol w:w="1170"/>
                        <w:gridCol w:w="1170"/>
                      </w:tblGrid>
                      <w:tr w:rsidR="00E659D3" w:rsidRPr="00036D9C" w:rsidTr="00450DCE">
                        <w:trPr>
                          <w:trHeight w:val="263"/>
                        </w:trPr>
                        <w:tc>
                          <w:tcPr>
                            <w:tcW w:w="1890" w:type="dxa"/>
                            <w:tcBorders>
                              <w:top w:val="single" w:sz="4" w:space="0" w:color="auto"/>
                              <w:left w:val="single" w:sz="4" w:space="0" w:color="auto"/>
                              <w:bottom w:val="single" w:sz="4" w:space="0" w:color="auto"/>
                              <w:right w:val="single" w:sz="4" w:space="0" w:color="auto"/>
                            </w:tcBorders>
                            <w:vAlign w:val="bottom"/>
                          </w:tcPr>
                          <w:p w:rsidR="00E659D3" w:rsidRPr="00036D9C" w:rsidRDefault="00E659D3" w:rsidP="00366F34">
                            <w:pPr>
                              <w:pStyle w:val="tabletext"/>
                              <w:jc w:val="center"/>
                              <w:rPr>
                                <w:b/>
                                <w:szCs w:val="18"/>
                              </w:rPr>
                            </w:pPr>
                            <w:r w:rsidRPr="00036D9C">
                              <w:rPr>
                                <w:b/>
                                <w:szCs w:val="18"/>
                              </w:rPr>
                              <w:br w:type="column"/>
                            </w:r>
                          </w:p>
                        </w:tc>
                        <w:tc>
                          <w:tcPr>
                            <w:tcW w:w="540" w:type="dxa"/>
                            <w:tcBorders>
                              <w:top w:val="single" w:sz="4" w:space="0" w:color="auto"/>
                              <w:left w:val="single" w:sz="4" w:space="0" w:color="auto"/>
                              <w:right w:val="single" w:sz="4" w:space="0" w:color="auto"/>
                            </w:tcBorders>
                            <w:vAlign w:val="bottom"/>
                          </w:tcPr>
                          <w:p w:rsidR="00E659D3" w:rsidRPr="00036D9C" w:rsidRDefault="00E659D3" w:rsidP="00366F34">
                            <w:pPr>
                              <w:pStyle w:val="tabletext"/>
                              <w:jc w:val="center"/>
                              <w:rPr>
                                <w:b/>
                                <w:szCs w:val="18"/>
                              </w:rPr>
                            </w:pPr>
                          </w:p>
                        </w:tc>
                        <w:tc>
                          <w:tcPr>
                            <w:tcW w:w="1260" w:type="dxa"/>
                            <w:tcBorders>
                              <w:top w:val="single" w:sz="4" w:space="0" w:color="auto"/>
                              <w:left w:val="single" w:sz="4" w:space="0" w:color="auto"/>
                              <w:right w:val="single" w:sz="4" w:space="0" w:color="auto"/>
                            </w:tcBorders>
                            <w:vAlign w:val="bottom"/>
                          </w:tcPr>
                          <w:p w:rsidR="00E659D3" w:rsidRPr="00036D9C" w:rsidRDefault="00E659D3" w:rsidP="00366F34">
                            <w:pPr>
                              <w:pStyle w:val="tabletext"/>
                              <w:jc w:val="center"/>
                              <w:rPr>
                                <w:b/>
                                <w:szCs w:val="18"/>
                              </w:rPr>
                            </w:pPr>
                            <w:r w:rsidRPr="00036D9C">
                              <w:rPr>
                                <w:b/>
                                <w:szCs w:val="18"/>
                              </w:rPr>
                              <w:t>CSO 001</w:t>
                            </w:r>
                          </w:p>
                        </w:tc>
                        <w:tc>
                          <w:tcPr>
                            <w:tcW w:w="1170" w:type="dxa"/>
                            <w:tcBorders>
                              <w:top w:val="single" w:sz="4" w:space="0" w:color="auto"/>
                              <w:left w:val="single" w:sz="4" w:space="0" w:color="auto"/>
                              <w:right w:val="single" w:sz="4" w:space="0" w:color="auto"/>
                            </w:tcBorders>
                            <w:vAlign w:val="bottom"/>
                          </w:tcPr>
                          <w:p w:rsidR="00E659D3" w:rsidRPr="00036D9C" w:rsidRDefault="00E659D3" w:rsidP="00366F34">
                            <w:pPr>
                              <w:pStyle w:val="tabletext"/>
                              <w:jc w:val="center"/>
                              <w:rPr>
                                <w:b/>
                                <w:szCs w:val="18"/>
                              </w:rPr>
                            </w:pPr>
                            <w:r w:rsidRPr="00036D9C">
                              <w:rPr>
                                <w:b/>
                                <w:szCs w:val="18"/>
                              </w:rPr>
                              <w:t>CSO 002</w:t>
                            </w:r>
                          </w:p>
                        </w:tc>
                        <w:tc>
                          <w:tcPr>
                            <w:tcW w:w="1170" w:type="dxa"/>
                            <w:tcBorders>
                              <w:top w:val="single" w:sz="4" w:space="0" w:color="auto"/>
                              <w:left w:val="single" w:sz="4" w:space="0" w:color="auto"/>
                              <w:right w:val="single" w:sz="4" w:space="0" w:color="auto"/>
                            </w:tcBorders>
                            <w:vAlign w:val="bottom"/>
                          </w:tcPr>
                          <w:p w:rsidR="00E659D3" w:rsidRPr="00036D9C" w:rsidRDefault="00E659D3" w:rsidP="00366F34">
                            <w:pPr>
                              <w:pStyle w:val="tabletext"/>
                              <w:jc w:val="center"/>
                              <w:rPr>
                                <w:b/>
                                <w:szCs w:val="18"/>
                              </w:rPr>
                            </w:pPr>
                            <w:r w:rsidRPr="00036D9C">
                              <w:rPr>
                                <w:b/>
                                <w:szCs w:val="18"/>
                              </w:rPr>
                              <w:t>CSO 003</w:t>
                            </w:r>
                          </w:p>
                        </w:tc>
                      </w:tr>
                      <w:tr w:rsidR="00E659D3" w:rsidRPr="00036D9C" w:rsidTr="00980F72">
                        <w:trPr>
                          <w:trHeight w:val="377"/>
                        </w:trPr>
                        <w:tc>
                          <w:tcPr>
                            <w:tcW w:w="1890" w:type="dxa"/>
                            <w:vAlign w:val="center"/>
                          </w:tcPr>
                          <w:p w:rsidR="00E659D3" w:rsidRPr="00036D9C" w:rsidRDefault="00E659D3" w:rsidP="00980F72">
                            <w:pPr>
                              <w:pStyle w:val="tabletext"/>
                              <w:rPr>
                                <w:b/>
                                <w:szCs w:val="18"/>
                              </w:rPr>
                            </w:pPr>
                            <w:r w:rsidRPr="00036D9C">
                              <w:rPr>
                                <w:b/>
                                <w:szCs w:val="18"/>
                              </w:rPr>
                              <w:t xml:space="preserve">a. </w:t>
                            </w:r>
                            <w:r w:rsidRPr="00036D9C">
                              <w:rPr>
                                <w:szCs w:val="18"/>
                              </w:rPr>
                              <w:t>Sub-sewershed area (acres)</w:t>
                            </w:r>
                          </w:p>
                        </w:tc>
                        <w:tc>
                          <w:tcPr>
                            <w:tcW w:w="540" w:type="dxa"/>
                            <w:vAlign w:val="center"/>
                          </w:tcPr>
                          <w:p w:rsidR="00E659D3" w:rsidRPr="00036D9C" w:rsidRDefault="00E659D3" w:rsidP="00980F72">
                            <w:pPr>
                              <w:pStyle w:val="tabletext"/>
                              <w:jc w:val="center"/>
                              <w:rPr>
                                <w:b/>
                                <w:szCs w:val="18"/>
                              </w:rPr>
                            </w:pPr>
                            <w:r w:rsidRPr="00036D9C">
                              <w:rPr>
                                <w:b/>
                                <w:szCs w:val="18"/>
                              </w:rPr>
                              <w:t>10a</w:t>
                            </w:r>
                          </w:p>
                        </w:tc>
                        <w:tc>
                          <w:tcPr>
                            <w:tcW w:w="1260" w:type="dxa"/>
                            <w:vAlign w:val="center"/>
                          </w:tcPr>
                          <w:p w:rsidR="00E659D3" w:rsidRPr="00036D9C" w:rsidRDefault="00E659D3" w:rsidP="00980F72">
                            <w:pPr>
                              <w:pStyle w:val="tabletext"/>
                              <w:jc w:val="center"/>
                              <w:rPr>
                                <w:szCs w:val="18"/>
                              </w:rPr>
                            </w:pPr>
                            <w:r w:rsidRPr="00036D9C">
                              <w:rPr>
                                <w:szCs w:val="18"/>
                              </w:rPr>
                              <w:t>105</w:t>
                            </w:r>
                          </w:p>
                        </w:tc>
                        <w:tc>
                          <w:tcPr>
                            <w:tcW w:w="1170" w:type="dxa"/>
                            <w:vAlign w:val="center"/>
                          </w:tcPr>
                          <w:p w:rsidR="00E659D3" w:rsidRPr="00036D9C" w:rsidRDefault="00E659D3" w:rsidP="00980F72">
                            <w:pPr>
                              <w:pStyle w:val="tabletext"/>
                              <w:jc w:val="center"/>
                              <w:rPr>
                                <w:szCs w:val="18"/>
                              </w:rPr>
                            </w:pPr>
                            <w:r w:rsidRPr="00036D9C">
                              <w:rPr>
                                <w:szCs w:val="18"/>
                              </w:rPr>
                              <w:t>85</w:t>
                            </w:r>
                          </w:p>
                        </w:tc>
                        <w:tc>
                          <w:tcPr>
                            <w:tcW w:w="1170" w:type="dxa"/>
                            <w:vAlign w:val="center"/>
                          </w:tcPr>
                          <w:p w:rsidR="00E659D3" w:rsidRPr="00036D9C" w:rsidRDefault="00E659D3" w:rsidP="00980F72">
                            <w:pPr>
                              <w:pStyle w:val="tabletext"/>
                              <w:jc w:val="center"/>
                              <w:rPr>
                                <w:szCs w:val="18"/>
                              </w:rPr>
                            </w:pPr>
                            <w:r w:rsidRPr="00036D9C">
                              <w:rPr>
                                <w:szCs w:val="18"/>
                              </w:rPr>
                              <w:t>112</w:t>
                            </w:r>
                          </w:p>
                        </w:tc>
                      </w:tr>
                      <w:tr w:rsidR="00E659D3" w:rsidRPr="00036D9C" w:rsidTr="00980F72">
                        <w:trPr>
                          <w:trHeight w:val="436"/>
                        </w:trPr>
                        <w:tc>
                          <w:tcPr>
                            <w:tcW w:w="1890" w:type="dxa"/>
                            <w:vAlign w:val="center"/>
                          </w:tcPr>
                          <w:p w:rsidR="00E659D3" w:rsidRPr="00036D9C" w:rsidRDefault="00E659D3" w:rsidP="00980F72">
                            <w:pPr>
                              <w:pStyle w:val="tabletext"/>
                              <w:rPr>
                                <w:b/>
                                <w:szCs w:val="18"/>
                              </w:rPr>
                            </w:pPr>
                            <w:r w:rsidRPr="00036D9C">
                              <w:rPr>
                                <w:b/>
                                <w:szCs w:val="18"/>
                              </w:rPr>
                              <w:t xml:space="preserve">b. </w:t>
                            </w:r>
                            <w:r w:rsidRPr="00036D9C">
                              <w:rPr>
                                <w:szCs w:val="18"/>
                              </w:rPr>
                              <w:t>Principal land use</w:t>
                            </w:r>
                          </w:p>
                        </w:tc>
                        <w:tc>
                          <w:tcPr>
                            <w:tcW w:w="540" w:type="dxa"/>
                            <w:vAlign w:val="center"/>
                          </w:tcPr>
                          <w:p w:rsidR="00E659D3" w:rsidRPr="00036D9C" w:rsidRDefault="00E659D3" w:rsidP="00980F72">
                            <w:pPr>
                              <w:pStyle w:val="tabletext"/>
                              <w:jc w:val="center"/>
                              <w:rPr>
                                <w:b/>
                                <w:szCs w:val="18"/>
                              </w:rPr>
                            </w:pPr>
                            <w:r w:rsidRPr="00036D9C">
                              <w:rPr>
                                <w:b/>
                                <w:szCs w:val="18"/>
                              </w:rPr>
                              <w:t>10b</w:t>
                            </w:r>
                          </w:p>
                        </w:tc>
                        <w:tc>
                          <w:tcPr>
                            <w:tcW w:w="1260" w:type="dxa"/>
                            <w:vAlign w:val="center"/>
                          </w:tcPr>
                          <w:p w:rsidR="00E659D3" w:rsidRPr="00036D9C" w:rsidRDefault="00E659D3" w:rsidP="00980F72">
                            <w:pPr>
                              <w:pStyle w:val="tabletext"/>
                              <w:jc w:val="center"/>
                              <w:rPr>
                                <w:szCs w:val="18"/>
                              </w:rPr>
                            </w:pPr>
                            <w:r w:rsidRPr="00036D9C">
                              <w:rPr>
                                <w:szCs w:val="18"/>
                              </w:rPr>
                              <w:t>Medium-Density Residential</w:t>
                            </w:r>
                          </w:p>
                        </w:tc>
                        <w:tc>
                          <w:tcPr>
                            <w:tcW w:w="1170" w:type="dxa"/>
                            <w:vAlign w:val="center"/>
                          </w:tcPr>
                          <w:p w:rsidR="00E659D3" w:rsidRPr="00036D9C" w:rsidRDefault="00E659D3" w:rsidP="00980F72">
                            <w:pPr>
                              <w:pStyle w:val="tabletext"/>
                              <w:jc w:val="center"/>
                              <w:rPr>
                                <w:szCs w:val="18"/>
                              </w:rPr>
                            </w:pPr>
                            <w:r w:rsidRPr="00036D9C">
                              <w:rPr>
                                <w:szCs w:val="18"/>
                              </w:rPr>
                              <w:t>High-Density Residential</w:t>
                            </w:r>
                          </w:p>
                        </w:tc>
                        <w:tc>
                          <w:tcPr>
                            <w:tcW w:w="1170" w:type="dxa"/>
                            <w:vAlign w:val="center"/>
                          </w:tcPr>
                          <w:p w:rsidR="00E659D3" w:rsidRPr="00036D9C" w:rsidRDefault="00E659D3" w:rsidP="00980F72">
                            <w:pPr>
                              <w:pStyle w:val="tabletext"/>
                              <w:jc w:val="center"/>
                              <w:rPr>
                                <w:szCs w:val="18"/>
                              </w:rPr>
                            </w:pPr>
                            <w:r w:rsidRPr="00036D9C">
                              <w:rPr>
                                <w:szCs w:val="18"/>
                              </w:rPr>
                              <w:t>Mixed Use</w:t>
                            </w:r>
                          </w:p>
                        </w:tc>
                      </w:tr>
                    </w:tbl>
                    <w:p w:rsidR="00E659D3" w:rsidRDefault="00E659D3" w:rsidP="00366F34"/>
                  </w:txbxContent>
                </v:textbox>
                <w10:wrap type="square" anchorx="margin" anchory="margin"/>
              </v:shape>
            </w:pict>
          </mc:Fallback>
        </mc:AlternateContent>
      </w:r>
      <w:r w:rsidR="00E17BF3" w:rsidRPr="00DA2211">
        <w:t>The CSO Control Policy states</w:t>
      </w:r>
      <w:r w:rsidR="00DA2211">
        <w:t>,</w:t>
      </w:r>
      <w:r w:rsidR="00E17BF3" w:rsidRPr="00DA2211">
        <w:t xml:space="preserve"> “in developing its long-term CSO control plan, the permittee will employ a public participation process that actively involves the affected public in the decision-making to select the long-term CSO controls” (II.C.2). Given the potential for significant expenditures of public funds for CSO control, public support is key to CSO program success.</w:t>
      </w:r>
    </w:p>
    <w:p w:rsidR="0062037C" w:rsidRDefault="00430DFB" w:rsidP="00B64EF9">
      <w:pPr>
        <w:pStyle w:val="BodyText"/>
      </w:pPr>
      <w:r>
        <w:rPr>
          <w:noProof/>
        </w:rPr>
        <w:lastRenderedPageBreak/>
        <mc:AlternateContent>
          <mc:Choice Requires="wps">
            <w:drawing>
              <wp:anchor distT="91440" distB="91440" distL="114300" distR="114300" simplePos="0" relativeHeight="251638272" behindDoc="0" locked="0" layoutInCell="1" allowOverlap="1">
                <wp:simplePos x="0" y="0"/>
                <wp:positionH relativeFrom="margin">
                  <wp:posOffset>1750695</wp:posOffset>
                </wp:positionH>
                <wp:positionV relativeFrom="margin">
                  <wp:posOffset>9525</wp:posOffset>
                </wp:positionV>
                <wp:extent cx="4457700" cy="2286000"/>
                <wp:effectExtent l="17145" t="9525" r="11430" b="9525"/>
                <wp:wrapSquare wrapText="bothSides"/>
                <wp:docPr id="1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286000"/>
                        </a:xfrm>
                        <a:prstGeom prst="rect">
                          <a:avLst/>
                        </a:prstGeom>
                        <a:solidFill>
                          <a:srgbClr val="FFFFFF"/>
                        </a:solidFill>
                        <a:ln w="19050">
                          <a:solidFill>
                            <a:srgbClr val="000000"/>
                          </a:solidFill>
                          <a:miter lim="800000"/>
                          <a:headEnd/>
                          <a:tailEnd/>
                        </a:ln>
                      </wps:spPr>
                      <wps:txbx>
                        <w:txbxContent>
                          <w:p w:rsidR="00E659D3" w:rsidRDefault="00E659D3" w:rsidP="00E05249">
                            <w:pPr>
                              <w:pStyle w:val="BoxTitle"/>
                            </w:pPr>
                            <w:r>
                              <w:t xml:space="preserve">Use of Schedules </w:t>
                            </w:r>
                          </w:p>
                          <w:p w:rsidR="00E659D3" w:rsidRDefault="00E659D3" w:rsidP="00E05249">
                            <w:pPr>
                              <w:pStyle w:val="BoxText"/>
                            </w:pPr>
                            <w:r>
                              <w:t xml:space="preserve">The Green LTCP-EZ Template provides an organizational framework for collecting and presenting information and analysis that is essential for a draft LTCP. Once complete, FORM GREEN LTCP-EZ (with accompanying schedules) </w:t>
                            </w:r>
                            <w:r>
                              <w:rPr>
                                <w:bCs/>
                              </w:rPr>
                              <w:t>can</w:t>
                            </w:r>
                            <w:r>
                              <w:t xml:space="preserve"> serve as a draft LTCP for a small community under appropriate circumstances. E</w:t>
                            </w:r>
                            <w:r>
                              <w:rPr>
                                <w:bCs/>
                              </w:rPr>
                              <w:t>ach of the</w:t>
                            </w:r>
                            <w:r>
                              <w:rPr>
                                <w:b/>
                                <w:bCs/>
                                <w:i/>
                              </w:rPr>
                              <w:t xml:space="preserve"> </w:t>
                            </w:r>
                            <w:r>
                              <w:t xml:space="preserve">following </w:t>
                            </w:r>
                            <w:r>
                              <w:rPr>
                                <w:bCs/>
                              </w:rPr>
                              <w:t>three</w:t>
                            </w:r>
                            <w:r>
                              <w:t xml:space="preserve"> sections on CSO Volume, Evaluation of CSO Controls, and CSO Financial Capability include</w:t>
                            </w:r>
                            <w:r>
                              <w:rPr>
                                <w:i/>
                              </w:rPr>
                              <w:t xml:space="preserve"> </w:t>
                            </w:r>
                            <w:r>
                              <w:t>schedules with calculation procedures that are potentially valuable for small communities. However, although the types of information used in, and generated by,</w:t>
                            </w:r>
                            <w:r>
                              <w:rPr>
                                <w:bCs/>
                              </w:rPr>
                              <w:t xml:space="preserve"> such schedules</w:t>
                            </w:r>
                            <w:r>
                              <w:t xml:space="preserve"> is necessary for a draft LTCP, </w:t>
                            </w:r>
                            <w:r>
                              <w:rPr>
                                <w:bCs/>
                              </w:rPr>
                              <w:t>use of</w:t>
                            </w:r>
                            <w:r>
                              <w:t xml:space="preserve"> the schedules </w:t>
                            </w:r>
                            <w:r>
                              <w:rPr>
                                <w:bCs/>
                              </w:rPr>
                              <w:t>is</w:t>
                            </w:r>
                            <w:r>
                              <w:t xml:space="preserve"> optional. Permittees with extremely simple systems, permittees that have already completed an evaluation of CSO controls, and permittees that have </w:t>
                            </w:r>
                            <w:r>
                              <w:rPr>
                                <w:bCs/>
                              </w:rPr>
                              <w:t>previously</w:t>
                            </w:r>
                            <w:r>
                              <w:t xml:space="preserve"> conducted separate analyses could </w:t>
                            </w:r>
                            <w:r>
                              <w:rPr>
                                <w:bCs/>
                              </w:rPr>
                              <w:t>choose not to use</w:t>
                            </w:r>
                            <w:r>
                              <w:rPr>
                                <w:b/>
                                <w:bCs/>
                                <w:i/>
                              </w:rPr>
                              <w:t xml:space="preserve"> </w:t>
                            </w:r>
                            <w:r>
                              <w:t xml:space="preserve">the schedules. Under those circumstances, </w:t>
                            </w:r>
                            <w:r>
                              <w:rPr>
                                <w:bCs/>
                              </w:rPr>
                              <w:t>documentation of the evaluation of CSO control alternatives and selection of the r</w:t>
                            </w:r>
                            <w:r>
                              <w:t xml:space="preserve">ecommended CSO Control Plan </w:t>
                            </w:r>
                            <w:r>
                              <w:rPr>
                                <w:bCs/>
                              </w:rPr>
                              <w:t>could be provided in another format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137.85pt;margin-top:.75pt;width:351pt;height:180pt;z-index:2516382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" strokeweight="1.5pt">
                <v:textbox>
                  <w:txbxContent>
                    <w:p w:rsidR="00E659D3" w:rsidRDefault="00E659D3" w:rsidP="00E05249">
                      <w:pPr>
                        <w:pStyle w:val="BoxTitle"/>
                      </w:pPr>
                      <w:r>
                        <w:t xml:space="preserve">Use of Schedules </w:t>
                      </w:r>
                    </w:p>
                    <w:p w:rsidR="00E659D3" w:rsidRDefault="00E659D3" w:rsidP="00E05249">
                      <w:pPr>
                        <w:pStyle w:val="BoxText"/>
                      </w:pPr>
                      <w:r>
                        <w:t xml:space="preserve">The Green LTCP-EZ Template provides an organizational framework for collecting and presenting information and analysis that is essential for a draft LTCP. Once complete, FORM GREEN LTCP-EZ (with accompanying schedules) </w:t>
                      </w:r>
                      <w:r>
                        <w:rPr>
                          <w:bCs/>
                        </w:rPr>
                        <w:t>can</w:t>
                      </w:r>
                      <w:r>
                        <w:t xml:space="preserve"> serve as a draft LTCP for a small community under appropriate circumstances. E</w:t>
                      </w:r>
                      <w:r>
                        <w:rPr>
                          <w:bCs/>
                        </w:rPr>
                        <w:t>ach of the</w:t>
                      </w:r>
                      <w:r>
                        <w:rPr>
                          <w:b/>
                          <w:bCs/>
                          <w:i/>
                        </w:rPr>
                        <w:t xml:space="preserve"> </w:t>
                      </w:r>
                      <w:r>
                        <w:t xml:space="preserve">following </w:t>
                      </w:r>
                      <w:r>
                        <w:rPr>
                          <w:bCs/>
                        </w:rPr>
                        <w:t>three</w:t>
                      </w:r>
                      <w:r>
                        <w:t xml:space="preserve"> sections on CSO Volume, Evaluation of CSO Controls, and CSO Financial Capability include</w:t>
                      </w:r>
                      <w:r>
                        <w:rPr>
                          <w:i/>
                        </w:rPr>
                        <w:t xml:space="preserve"> </w:t>
                      </w:r>
                      <w:r>
                        <w:t>schedules with calculation procedures that are potentially valuable for small communities. However, although the types of information used in, and generated by,</w:t>
                      </w:r>
                      <w:r>
                        <w:rPr>
                          <w:bCs/>
                        </w:rPr>
                        <w:t xml:space="preserve"> such schedules</w:t>
                      </w:r>
                      <w:r>
                        <w:t xml:space="preserve"> is necessary for a draft LTCP, </w:t>
                      </w:r>
                      <w:r>
                        <w:rPr>
                          <w:bCs/>
                        </w:rPr>
                        <w:t>use of</w:t>
                      </w:r>
                      <w:r>
                        <w:t xml:space="preserve"> the schedules </w:t>
                      </w:r>
                      <w:r>
                        <w:rPr>
                          <w:bCs/>
                        </w:rPr>
                        <w:t>is</w:t>
                      </w:r>
                      <w:r>
                        <w:t xml:space="preserve"> optional. Permittees with extremely simple systems, permittees that have already completed an evaluation of CSO controls, and permittees that have </w:t>
                      </w:r>
                      <w:r>
                        <w:rPr>
                          <w:bCs/>
                        </w:rPr>
                        <w:t>previously</w:t>
                      </w:r>
                      <w:r>
                        <w:t xml:space="preserve"> conducted separate analyses could </w:t>
                      </w:r>
                      <w:r>
                        <w:rPr>
                          <w:bCs/>
                        </w:rPr>
                        <w:t>choose not to use</w:t>
                      </w:r>
                      <w:r>
                        <w:rPr>
                          <w:b/>
                          <w:bCs/>
                          <w:i/>
                        </w:rPr>
                        <w:t xml:space="preserve"> </w:t>
                      </w:r>
                      <w:r>
                        <w:t xml:space="preserve">the schedules. Under those circumstances, </w:t>
                      </w:r>
                      <w:r>
                        <w:rPr>
                          <w:bCs/>
                        </w:rPr>
                        <w:t>documentation of the evaluation of CSO control alternatives and selection of the r</w:t>
                      </w:r>
                      <w:r>
                        <w:t xml:space="preserve">ecommended CSO Control Plan </w:t>
                      </w:r>
                      <w:r>
                        <w:rPr>
                          <w:bCs/>
                        </w:rPr>
                        <w:t>could be provided in another format</w:t>
                      </w:r>
                      <w:r>
                        <w:t>.</w:t>
                      </w:r>
                    </w:p>
                  </w:txbxContent>
                </v:textbox>
                <w10:wrap type="square" anchorx="margin" anchory="margin"/>
              </v:shape>
            </w:pict>
          </mc:Fallback>
        </mc:AlternateContent>
      </w:r>
      <w:r w:rsidR="00E17BF3">
        <w:t>Public participation can be viewed as interaction between the permittee (the utility or municipality), the general public, and other stakeholders. Stakeholders include civic groups, environmental interests, and users of the receiving waters. The general public and stakeholders need to be informed about the existence of CSOs and the plan for CSO abatement and control. Informing the public about potential CSO control alternatives is one part of the public participation process</w:t>
      </w:r>
      <w:r w:rsidR="0062037C">
        <w:t>.</w:t>
      </w:r>
    </w:p>
    <w:p w:rsidR="00E17BF3" w:rsidRDefault="00E17BF3" w:rsidP="00B64EF9">
      <w:pPr>
        <w:pStyle w:val="BodyText"/>
      </w:pPr>
      <w:r>
        <w:t>Public meetings are typically used for describing and explaining alternatives. Technical solutions should be presented simpl</w:t>
      </w:r>
      <w:r w:rsidR="000D7B47">
        <w:t>y and</w:t>
      </w:r>
      <w:r>
        <w:t xml:space="preserve"> concise</w:t>
      </w:r>
      <w:r w:rsidR="000D7B47">
        <w:t>ly and</w:t>
      </w:r>
      <w:r>
        <w:t xml:space="preserve"> understandable to diverse groups. The discussion should include background on the project, description of proposed facilities/projects, the level of control to be achieved, temporary and permanent impacts, potential mitigation measures, and cost and financial information. Presentations to the public should explain the benefits of CSO control. A key objective of the public education process is to build support for increases in user charges and taxes that might be required to finance CSO control projects.</w:t>
      </w:r>
    </w:p>
    <w:p w:rsidR="00E17BF3" w:rsidRDefault="00E17BF3" w:rsidP="00B64EF9">
      <w:pPr>
        <w:pStyle w:val="BodyText"/>
      </w:pPr>
      <w:r>
        <w:t>The extent of the public participation program generally depends on the amount of resources available and the size of the CSO community. Public participation is typically accomplished through one or more activities, such as</w:t>
      </w:r>
      <w:r w:rsidR="000D7B47">
        <w:t xml:space="preserve"> the following</w:t>
      </w:r>
      <w:r>
        <w:t>:</w:t>
      </w:r>
    </w:p>
    <w:p w:rsidR="00450DCE" w:rsidRDefault="00450DCE" w:rsidP="00B64EF9">
      <w:pPr>
        <w:pStyle w:val="BodyText"/>
        <w:rPr>
          <w:rStyle w:val="italic"/>
        </w:rPr>
      </w:pPr>
    </w:p>
    <w:p w:rsidR="00450DCE" w:rsidRDefault="00450DCE" w:rsidP="00B64EF9">
      <w:pPr>
        <w:pStyle w:val="BodyText"/>
        <w:rPr>
          <w:rStyle w:val="italic"/>
        </w:rPr>
      </w:pPr>
    </w:p>
    <w:p w:rsidR="0062037C" w:rsidRDefault="00E17BF3" w:rsidP="00B64EF9">
      <w:pPr>
        <w:pStyle w:val="BodyText"/>
      </w:pPr>
      <w:r w:rsidRPr="00B64EF9">
        <w:rPr>
          <w:rStyle w:val="italic"/>
        </w:rPr>
        <w:t>CSO Awareness</w:t>
      </w:r>
      <w:r>
        <w:t>:</w:t>
      </w:r>
    </w:p>
    <w:p w:rsidR="00E17BF3" w:rsidRDefault="00E17BF3" w:rsidP="00A20390">
      <w:pPr>
        <w:pStyle w:val="bullet"/>
      </w:pPr>
      <w:r>
        <w:t>Plac</w:t>
      </w:r>
      <w:r w:rsidR="000D7B47">
        <w:t>ing</w:t>
      </w:r>
      <w:r>
        <w:t xml:space="preserve"> informational and warning signs at CSO outfalls</w:t>
      </w:r>
    </w:p>
    <w:p w:rsidR="00E17BF3" w:rsidRDefault="00E17BF3" w:rsidP="00A20390">
      <w:pPr>
        <w:pStyle w:val="bullet"/>
      </w:pPr>
      <w:r>
        <w:t>Media advisories for CSO events</w:t>
      </w:r>
    </w:p>
    <w:p w:rsidR="00E17BF3" w:rsidRPr="00B64EF9" w:rsidRDefault="00E17BF3" w:rsidP="00B64EF9">
      <w:pPr>
        <w:pStyle w:val="BodyText"/>
        <w:rPr>
          <w:rStyle w:val="italic"/>
        </w:rPr>
      </w:pPr>
      <w:r w:rsidRPr="00B64EF9">
        <w:rPr>
          <w:rStyle w:val="italic"/>
        </w:rPr>
        <w:t>Public Education:</w:t>
      </w:r>
    </w:p>
    <w:p w:rsidR="00E17BF3" w:rsidRDefault="00E17BF3" w:rsidP="00A20390">
      <w:pPr>
        <w:pStyle w:val="bullet"/>
      </w:pPr>
      <w:r>
        <w:t>Media coverage</w:t>
      </w:r>
    </w:p>
    <w:p w:rsidR="00E17BF3" w:rsidRDefault="00E17BF3" w:rsidP="00A20390">
      <w:pPr>
        <w:pStyle w:val="bullet"/>
      </w:pPr>
      <w:r>
        <w:t>Newsletters/Information booklet</w:t>
      </w:r>
    </w:p>
    <w:p w:rsidR="0062037C" w:rsidRDefault="00E17BF3" w:rsidP="00A20390">
      <w:pPr>
        <w:pStyle w:val="bullet"/>
      </w:pPr>
      <w:r>
        <w:t>Educational inserts to water and sewer bills</w:t>
      </w:r>
    </w:p>
    <w:p w:rsidR="00E17BF3" w:rsidRDefault="00E17BF3" w:rsidP="00A20390">
      <w:pPr>
        <w:pStyle w:val="bullet"/>
      </w:pPr>
      <w:r>
        <w:t>Direct mailers</w:t>
      </w:r>
    </w:p>
    <w:p w:rsidR="00E17BF3" w:rsidRDefault="00E17BF3" w:rsidP="00A20390">
      <w:pPr>
        <w:pStyle w:val="bullet"/>
      </w:pPr>
      <w:r>
        <w:t xml:space="preserve">CSO project </w:t>
      </w:r>
      <w:r w:rsidR="000D7B47">
        <w:t>W</w:t>
      </w:r>
      <w:r>
        <w:t>eb</w:t>
      </w:r>
      <w:r w:rsidR="000D7B47">
        <w:t xml:space="preserve"> </w:t>
      </w:r>
      <w:r>
        <w:t>sites</w:t>
      </w:r>
    </w:p>
    <w:p w:rsidR="0062037C" w:rsidRPr="00B64EF9" w:rsidRDefault="00E17BF3" w:rsidP="00B64EF9">
      <w:pPr>
        <w:pStyle w:val="BodyText"/>
        <w:rPr>
          <w:rStyle w:val="italic"/>
        </w:rPr>
      </w:pPr>
      <w:r w:rsidRPr="00B64EF9">
        <w:rPr>
          <w:rStyle w:val="italic"/>
        </w:rPr>
        <w:t>Public Involvement:</w:t>
      </w:r>
    </w:p>
    <w:p w:rsidR="00E17BF3" w:rsidRDefault="00E17BF3" w:rsidP="00A20390">
      <w:pPr>
        <w:pStyle w:val="bullet"/>
      </w:pPr>
      <w:r>
        <w:t>Public meetings</w:t>
      </w:r>
    </w:p>
    <w:p w:rsidR="00E17BF3" w:rsidRDefault="00E17BF3" w:rsidP="00A20390">
      <w:pPr>
        <w:pStyle w:val="bullet"/>
      </w:pPr>
      <w:r>
        <w:t>Funding task force</w:t>
      </w:r>
    </w:p>
    <w:p w:rsidR="00E17BF3" w:rsidRDefault="00E17BF3" w:rsidP="00A20390">
      <w:pPr>
        <w:pStyle w:val="bullet"/>
      </w:pPr>
      <w:r>
        <w:t>Local river committee</w:t>
      </w:r>
    </w:p>
    <w:p w:rsidR="00E17BF3" w:rsidRDefault="00E17BF3" w:rsidP="00A20390">
      <w:pPr>
        <w:pStyle w:val="bullet"/>
      </w:pPr>
      <w:r>
        <w:t>Community leader involvement</w:t>
      </w:r>
    </w:p>
    <w:p w:rsidR="00E17BF3" w:rsidRDefault="00E17BF3" w:rsidP="00A20390">
      <w:pPr>
        <w:pStyle w:val="bullet"/>
      </w:pPr>
      <w:r>
        <w:t>General public telephone survey</w:t>
      </w:r>
    </w:p>
    <w:p w:rsidR="00E17BF3" w:rsidRDefault="00E17BF3" w:rsidP="00A20390">
      <w:pPr>
        <w:pStyle w:val="bullet"/>
      </w:pPr>
      <w:r>
        <w:t>Focus groups</w:t>
      </w:r>
    </w:p>
    <w:p w:rsidR="00E17BF3" w:rsidRDefault="00E17BF3" w:rsidP="00B64EF9">
      <w:pPr>
        <w:pStyle w:val="BodyText"/>
      </w:pPr>
      <w:r>
        <w:t>Successful public participation occurs when the discussion of CSO control has involved ratepayers and users of CSO-</w:t>
      </w:r>
      <w:r w:rsidR="000D7B47">
        <w:t>affe</w:t>
      </w:r>
      <w:r>
        <w:t>cted waterbodies.</w:t>
      </w:r>
    </w:p>
    <w:p w:rsidR="00E17BF3" w:rsidRDefault="00E17BF3" w:rsidP="00B64EF9">
      <w:pPr>
        <w:pStyle w:val="BodyText"/>
      </w:pPr>
      <w:r>
        <w:t xml:space="preserve">For more information on public participation activities, see </w:t>
      </w:r>
      <w:r w:rsidRPr="00B64EF9">
        <w:rPr>
          <w:rStyle w:val="italic"/>
        </w:rPr>
        <w:t>Combined Sewer Overflows Guidance for Long-Term Control Plan</w:t>
      </w:r>
      <w:r>
        <w:t xml:space="preserve"> </w:t>
      </w:r>
      <w:r w:rsidRPr="0017079F">
        <w:t>(EPA 1995</w:t>
      </w:r>
      <w:r w:rsidR="00311E3A">
        <w:t>a</w:t>
      </w:r>
      <w:r w:rsidRPr="0017079F">
        <w:t>)</w:t>
      </w:r>
      <w:r w:rsidR="00311E3A">
        <w:t>.</w:t>
      </w:r>
    </w:p>
    <w:p w:rsidR="00E17BF3" w:rsidRDefault="00E17BF3" w:rsidP="00B64EF9">
      <w:pPr>
        <w:pStyle w:val="BodyText"/>
      </w:pPr>
      <w:r>
        <w:t xml:space="preserve">Examples of public participation can also be viewed at the following CSO project </w:t>
      </w:r>
      <w:r w:rsidR="000D7B47">
        <w:t>W</w:t>
      </w:r>
      <w:r>
        <w:t>eb</w:t>
      </w:r>
      <w:r w:rsidR="000D7B47">
        <w:t xml:space="preserve"> </w:t>
      </w:r>
      <w:r>
        <w:t>sites:</w:t>
      </w:r>
    </w:p>
    <w:p w:rsidR="00E17BF3" w:rsidRDefault="00E17BF3" w:rsidP="00A20390">
      <w:pPr>
        <w:pStyle w:val="bullet"/>
      </w:pPr>
      <w:smartTag w:uri="urn:schemas-microsoft-com:office:smarttags" w:element="place">
        <w:smartTag w:uri="urn:schemas-microsoft-com:office:smarttags" w:element="City">
          <w:r>
            <w:t>City of Lansing</w:t>
          </w:r>
        </w:smartTag>
        <w:r>
          <w:t xml:space="preserve">, </w:t>
        </w:r>
        <w:smartTag w:uri="urn:schemas-microsoft-com:office:smarttags" w:element="State">
          <w:r>
            <w:t>Michigan</w:t>
          </w:r>
        </w:smartTag>
      </w:smartTag>
      <w:r>
        <w:t>. (</w:t>
      </w:r>
      <w:r w:rsidR="00126AAB" w:rsidRPr="00126AAB">
        <w:t>http://www.cityoflansingmi.com/pubserv/cso/the_cso_story.jsp</w:t>
      </w:r>
      <w:r>
        <w:t>)</w:t>
      </w:r>
    </w:p>
    <w:p w:rsidR="00E17BF3" w:rsidRDefault="00E17BF3" w:rsidP="00A20390">
      <w:pPr>
        <w:pStyle w:val="bullet"/>
      </w:pPr>
      <w:smartTag w:uri="urn:schemas-microsoft-com:office:smarttags" w:element="place">
        <w:smartTag w:uri="urn:schemas-microsoft-com:office:smarttags" w:element="City">
          <w:r>
            <w:t>City of Manchester</w:t>
          </w:r>
        </w:smartTag>
        <w:r>
          <w:t xml:space="preserve">, </w:t>
        </w:r>
        <w:smartTag w:uri="urn:schemas-microsoft-com:office:smarttags" w:element="State">
          <w:r>
            <w:t>New Hampshire</w:t>
          </w:r>
        </w:smartTag>
      </w:smartTag>
      <w:r>
        <w:t>. (</w:t>
      </w:r>
      <w:r w:rsidR="0086023E" w:rsidRPr="0086023E">
        <w:t>http://www.manchesternh.gov/</w:t>
      </w:r>
      <w:r w:rsidR="0028187E">
        <w:t>Web site</w:t>
      </w:r>
      <w:r w:rsidR="0086023E" w:rsidRPr="0086023E">
        <w:t>/Departments/EnvironmentalProtection/tabid/254/Default.aspx</w:t>
      </w:r>
      <w:r>
        <w:t>)</w:t>
      </w:r>
    </w:p>
    <w:p w:rsidR="00E17BF3" w:rsidRDefault="00E17BF3" w:rsidP="00A20390">
      <w:pPr>
        <w:pStyle w:val="bullet"/>
      </w:pPr>
      <w:smartTag w:uri="urn:schemas-microsoft-com:office:smarttags" w:element="place">
        <w:smartTag w:uri="urn:schemas-microsoft-com:office:smarttags" w:element="City">
          <w:r>
            <w:t>City of St. Joseph</w:t>
          </w:r>
        </w:smartTag>
        <w:r>
          <w:t xml:space="preserve">, </w:t>
        </w:r>
        <w:smartTag w:uri="urn:schemas-microsoft-com:office:smarttags" w:element="State">
          <w:r>
            <w:t>Missouri</w:t>
          </w:r>
        </w:smartTag>
      </w:smartTag>
      <w:r>
        <w:t>. (</w:t>
      </w:r>
      <w:hyperlink r:id="rId42" w:history="1">
        <w:r>
          <w:rPr>
            <w:rStyle w:val="Hyperlink"/>
            <w:color w:val="auto"/>
          </w:rPr>
          <w:t>http://www.ci.st-joseph.mo.us/publicworks/wpc_cso.cfm</w:t>
        </w:r>
      </w:hyperlink>
      <w:r>
        <w:t>)</w:t>
      </w:r>
    </w:p>
    <w:p w:rsidR="00E17BF3" w:rsidRDefault="00E17BF3" w:rsidP="00A20390">
      <w:pPr>
        <w:pStyle w:val="bullet"/>
      </w:pPr>
      <w:smartTag w:uri="urn:schemas-microsoft-com:office:smarttags" w:element="place">
        <w:smartTag w:uri="urn:schemas-microsoft-com:office:smarttags" w:element="City">
          <w:r>
            <w:t>City of Wilmington</w:t>
          </w:r>
        </w:smartTag>
        <w:r>
          <w:t xml:space="preserve">, </w:t>
        </w:r>
        <w:smartTag w:uri="urn:schemas-microsoft-com:office:smarttags" w:element="State">
          <w:r>
            <w:t>Delaware</w:t>
          </w:r>
        </w:smartTag>
      </w:smartTag>
      <w:r>
        <w:t>. (</w:t>
      </w:r>
      <w:hyperlink r:id="rId43" w:history="1">
        <w:r>
          <w:rPr>
            <w:rStyle w:val="Hyperlink"/>
            <w:color w:val="auto"/>
          </w:rPr>
          <w:t>http://www.wilmingtoncso.com/CSO_home.htm</w:t>
        </w:r>
      </w:hyperlink>
      <w:r>
        <w:t>)</w:t>
      </w:r>
    </w:p>
    <w:p w:rsidR="00E17BF3" w:rsidRDefault="00E17BF3" w:rsidP="00E05249">
      <w:pPr>
        <w:pStyle w:val="BodyText"/>
      </w:pPr>
      <w:r w:rsidRPr="00FA6577">
        <w:rPr>
          <w:rStyle w:val="Bold"/>
        </w:rPr>
        <w:t>Line 12 – Public Participation.</w:t>
      </w:r>
      <w:r>
        <w:t xml:space="preserve"> Please check the box on Line 12 to indicate </w:t>
      </w:r>
      <w:r w:rsidR="005212AA">
        <w:t xml:space="preserve">that </w:t>
      </w:r>
      <w:r>
        <w:t>Schedule 3</w:t>
      </w:r>
      <w:r w:rsidRPr="00FA6577">
        <w:rPr>
          <w:rStyle w:val="Bold"/>
        </w:rPr>
        <w:t xml:space="preserve"> </w:t>
      </w:r>
      <w:r>
        <w:rPr>
          <w:bCs/>
        </w:rPr>
        <w:t>–</w:t>
      </w:r>
      <w:r w:rsidRPr="00FA6577">
        <w:rPr>
          <w:rStyle w:val="Bold"/>
        </w:rPr>
        <w:t xml:space="preserve"> </w:t>
      </w:r>
      <w:r>
        <w:t>PUBLIC PARTICIPATION is attached to FORM LTCP-EZ. Use Schedule 3</w:t>
      </w:r>
      <w:r w:rsidRPr="00FA6577">
        <w:rPr>
          <w:rStyle w:val="Bold"/>
        </w:rPr>
        <w:t xml:space="preserve"> </w:t>
      </w:r>
      <w:r>
        <w:rPr>
          <w:bCs/>
        </w:rPr>
        <w:t>–</w:t>
      </w:r>
      <w:r w:rsidRPr="00FA6577">
        <w:rPr>
          <w:rStyle w:val="Bold"/>
        </w:rPr>
        <w:t xml:space="preserve"> </w:t>
      </w:r>
      <w:r>
        <w:t xml:space="preserve">PUBLIC PARTICIPATION to document public participation activities undertaken (or planned) to involve the public and stakeholders in the decision </w:t>
      </w:r>
      <w:r>
        <w:lastRenderedPageBreak/>
        <w:t>process to evaluate and select CSO controls.</w:t>
      </w:r>
    </w:p>
    <w:p w:rsidR="0062037C" w:rsidRDefault="00E17BF3" w:rsidP="003859D2">
      <w:pPr>
        <w:pStyle w:val="Heading2"/>
      </w:pPr>
      <w:bookmarkStart w:id="50" w:name="_Toc127078227"/>
      <w:bookmarkStart w:id="51" w:name="_Toc243725237"/>
      <w:bookmarkStart w:id="52" w:name="_Toc243809414"/>
      <w:bookmarkStart w:id="53" w:name="_Toc285015575"/>
      <w:r>
        <w:t>CSO Volume</w:t>
      </w:r>
      <w:bookmarkEnd w:id="50"/>
      <w:bookmarkEnd w:id="51"/>
      <w:bookmarkEnd w:id="52"/>
      <w:bookmarkEnd w:id="53"/>
    </w:p>
    <w:p w:rsidR="0062037C" w:rsidRDefault="00E17BF3" w:rsidP="002874D8">
      <w:pPr>
        <w:pStyle w:val="BodyText"/>
      </w:pPr>
      <w:r>
        <w:t xml:space="preserve">The </w:t>
      </w:r>
      <w:r w:rsidR="00FF476A">
        <w:t xml:space="preserve">Green </w:t>
      </w:r>
      <w:r>
        <w:t xml:space="preserve">LTCP-EZ Template applies the presumption approach described in the CSO Control Policy. The </w:t>
      </w:r>
      <w:r w:rsidR="00FF476A">
        <w:t xml:space="preserve">Green </w:t>
      </w:r>
      <w:r>
        <w:t>LTCP-EZ Template uses a design storm approach to identify the volume of combined sewage that needs to be stored, treated, or eliminated to reduce CSOs to no more than an average of four overflow events per year. In accordance with the presumption approach described in the CSO Control Policy, a program meeting th</w:t>
      </w:r>
      <w:r w:rsidR="004C0E81">
        <w:t>at</w:t>
      </w:r>
      <w:r>
        <w:t xml:space="preserve"> criterion is conditionally presumed to provide an adequate level of control to meet water quality-based requirements, provided that the permitting</w:t>
      </w:r>
      <w:r w:rsidR="004C0E81">
        <w:t xml:space="preserve"> </w:t>
      </w:r>
      <w:r>
        <w:t xml:space="preserve">authority determines the presumption is reasonable, </w:t>
      </w:r>
      <w:r w:rsidR="004C0E81">
        <w:t xml:space="preserve">according to the </w:t>
      </w:r>
      <w:r>
        <w:t>data and analysis provided in the LTCP</w:t>
      </w:r>
      <w:r w:rsidR="0062037C">
        <w:t>.</w:t>
      </w:r>
    </w:p>
    <w:p w:rsidR="0062037C" w:rsidRDefault="00E17BF3" w:rsidP="002874D8">
      <w:pPr>
        <w:pStyle w:val="BodyText"/>
      </w:pPr>
      <w:r>
        <w:t>Use of other criteria under the presumption approach is valid but need</w:t>
      </w:r>
      <w:r w:rsidR="00D26BA8">
        <w:t>s</w:t>
      </w:r>
      <w:r>
        <w:t xml:space="preserve"> to be documented separately </w:t>
      </w:r>
      <w:r>
        <w:br w:type="textWrapping" w:clear="all"/>
        <w:t>(not in Schedule 4 – CSO VOLUME)</w:t>
      </w:r>
      <w:r w:rsidR="0062037C">
        <w:t>.</w:t>
      </w:r>
    </w:p>
    <w:p w:rsidR="00E17BF3" w:rsidRDefault="00E17BF3" w:rsidP="002874D8">
      <w:pPr>
        <w:pStyle w:val="BodyText"/>
      </w:pPr>
      <w:r w:rsidRPr="00FA6577">
        <w:rPr>
          <w:rStyle w:val="Bold"/>
        </w:rPr>
        <w:t>Line 13 – CSO Volume</w:t>
      </w:r>
      <w:r>
        <w:t xml:space="preserve">. </w:t>
      </w:r>
      <w:r w:rsidR="008B1462">
        <w:t>C</w:t>
      </w:r>
      <w:r>
        <w:t>heck the appropriate box on Line 13 to indicate whether Schedule 4</w:t>
      </w:r>
      <w:r w:rsidRPr="00FA6577">
        <w:rPr>
          <w:rStyle w:val="Bold"/>
        </w:rPr>
        <w:t xml:space="preserve"> </w:t>
      </w:r>
      <w:r>
        <w:rPr>
          <w:bCs/>
        </w:rPr>
        <w:t>–</w:t>
      </w:r>
      <w:r w:rsidRPr="00FA6577">
        <w:rPr>
          <w:rStyle w:val="Bold"/>
        </w:rPr>
        <w:t xml:space="preserve"> </w:t>
      </w:r>
      <w:r>
        <w:t xml:space="preserve">CSO VOLUME or separate documentation is attached to FORM </w:t>
      </w:r>
      <w:r w:rsidR="00FF476A">
        <w:t xml:space="preserve">GREEN </w:t>
      </w:r>
      <w:r>
        <w:t>LTCP-EZ. Schedule 4</w:t>
      </w:r>
      <w:r w:rsidRPr="00FA6577">
        <w:rPr>
          <w:rStyle w:val="Bold"/>
        </w:rPr>
        <w:t xml:space="preserve"> </w:t>
      </w:r>
      <w:r>
        <w:rPr>
          <w:bCs/>
        </w:rPr>
        <w:t>–</w:t>
      </w:r>
      <w:r w:rsidRPr="00FA6577">
        <w:rPr>
          <w:rStyle w:val="Bold"/>
        </w:rPr>
        <w:t xml:space="preserve"> </w:t>
      </w:r>
      <w:r>
        <w:t>CSO</w:t>
      </w:r>
      <w:r w:rsidRPr="002874D8">
        <w:t xml:space="preserve"> </w:t>
      </w:r>
      <w:r>
        <w:t xml:space="preserve">VOLUME is used to quantify the volume of combined sewage that needs to be stored, treated, or </w:t>
      </w:r>
      <w:r>
        <w:br w:type="textWrapping" w:clear="all"/>
      </w:r>
      <w:r>
        <w:t xml:space="preserve">eliminated. This is called the </w:t>
      </w:r>
      <w:r w:rsidRPr="005822D8">
        <w:rPr>
          <w:rStyle w:val="italic"/>
        </w:rPr>
        <w:t>CSO volume</w:t>
      </w:r>
      <w:r>
        <w:t xml:space="preserve"> throughout the </w:t>
      </w:r>
      <w:r w:rsidR="00FF476A">
        <w:t xml:space="preserve">Green </w:t>
      </w:r>
      <w:r>
        <w:t xml:space="preserve">LTCP-EZ Template. Specific instructions for </w:t>
      </w:r>
      <w:bookmarkStart w:id="54" w:name="OLE_LINK2"/>
      <w:r>
        <w:t>completion of Schedule 4</w:t>
      </w:r>
      <w:r w:rsidR="005B40DF" w:rsidRPr="005B40DF">
        <w:t xml:space="preserve"> – </w:t>
      </w:r>
      <w:r>
        <w:t>CSO VOLUME are provided</w:t>
      </w:r>
      <w:r w:rsidR="0043213D">
        <w:rPr>
          <w:bCs/>
        </w:rPr>
        <w:t xml:space="preserve">. </w:t>
      </w:r>
      <w:bookmarkEnd w:id="54"/>
    </w:p>
    <w:p w:rsidR="0062037C" w:rsidRDefault="00E17BF3" w:rsidP="003859D2">
      <w:pPr>
        <w:pStyle w:val="Heading2"/>
      </w:pPr>
      <w:bookmarkStart w:id="55" w:name="_Toc127078229"/>
      <w:bookmarkStart w:id="56" w:name="_Toc243725238"/>
      <w:bookmarkStart w:id="57" w:name="_Toc243809415"/>
      <w:bookmarkStart w:id="58" w:name="_Toc285015576"/>
      <w:r>
        <w:t>Evaluation of CSO Controls</w:t>
      </w:r>
      <w:bookmarkEnd w:id="55"/>
      <w:bookmarkEnd w:id="56"/>
      <w:bookmarkEnd w:id="57"/>
      <w:bookmarkEnd w:id="58"/>
    </w:p>
    <w:p w:rsidR="00E05249" w:rsidRDefault="00E17BF3" w:rsidP="002874D8">
      <w:pPr>
        <w:pStyle w:val="BodyText"/>
        <w:rPr>
          <w:iCs/>
        </w:rPr>
      </w:pPr>
      <w:r>
        <w:rPr>
          <w:iCs/>
        </w:rPr>
        <w:t xml:space="preserve">LTCPs should contain site-specific, cost-effective CSO controls. </w:t>
      </w:r>
      <w:r>
        <w:t xml:space="preserve">Small communities are expected to evaluate a simple mix of </w:t>
      </w:r>
      <w:r w:rsidR="004B0472">
        <w:t xml:space="preserve">land management and pipe network </w:t>
      </w:r>
      <w:r>
        <w:t>controls to assess their ability to provide cost-effective CSO control.</w:t>
      </w:r>
      <w:r>
        <w:rPr>
          <w:iCs/>
        </w:rPr>
        <w:t xml:space="preserve"> The </w:t>
      </w:r>
      <w:r w:rsidR="00FF476A">
        <w:rPr>
          <w:iCs/>
        </w:rPr>
        <w:t xml:space="preserve">Green </w:t>
      </w:r>
      <w:r>
        <w:rPr>
          <w:iCs/>
        </w:rPr>
        <w:t xml:space="preserve">LTCP-EZ Template considers the volume of </w:t>
      </w:r>
      <w:r>
        <w:t>combined sewage calculated in Schedule 4</w:t>
      </w:r>
      <w:r w:rsidR="005B40DF" w:rsidRPr="005B40DF">
        <w:t xml:space="preserve"> – </w:t>
      </w:r>
      <w:r>
        <w:t>CSO VOLUME that needs to be stored, treated, or eliminated when evaluating alternatives for CSO controls.</w:t>
      </w:r>
      <w:r>
        <w:rPr>
          <w:iCs/>
        </w:rPr>
        <w:t xml:space="preserve"> </w:t>
      </w:r>
    </w:p>
    <w:p w:rsidR="00E17BF3" w:rsidRPr="00A64758" w:rsidRDefault="00E17BF3" w:rsidP="002874D8">
      <w:pPr>
        <w:pStyle w:val="BodyText"/>
        <w:rPr>
          <w:rStyle w:val="Bold"/>
        </w:rPr>
      </w:pPr>
      <w:r>
        <w:rPr>
          <w:iCs/>
        </w:rPr>
        <w:t>Schedule 5</w:t>
      </w:r>
      <w:r w:rsidR="005B40DF" w:rsidRPr="005B40DF">
        <w:t xml:space="preserve"> – </w:t>
      </w:r>
      <w:r>
        <w:rPr>
          <w:iCs/>
        </w:rPr>
        <w:t xml:space="preserve">CSO CONTROL </w:t>
      </w:r>
      <w:r w:rsidR="00D26BA8">
        <w:rPr>
          <w:iCs/>
        </w:rPr>
        <w:t xml:space="preserve">has two parts that enable </w:t>
      </w:r>
      <w:r>
        <w:rPr>
          <w:iCs/>
        </w:rPr>
        <w:t>an evaluation of CSO control alternatives for the CSO volume calculated in Schedule 4</w:t>
      </w:r>
      <w:r w:rsidR="005B40DF" w:rsidRPr="005B40DF">
        <w:t xml:space="preserve"> – </w:t>
      </w:r>
      <w:r>
        <w:rPr>
          <w:iCs/>
        </w:rPr>
        <w:t xml:space="preserve">CSO VOLUME. </w:t>
      </w:r>
      <w:r w:rsidR="00D26BA8">
        <w:rPr>
          <w:iCs/>
        </w:rPr>
        <w:t>Schedule 5</w:t>
      </w:r>
      <w:r w:rsidR="00E32832">
        <w:rPr>
          <w:iCs/>
        </w:rPr>
        <w:t>A</w:t>
      </w:r>
      <w:r w:rsidR="00D26BA8">
        <w:rPr>
          <w:iCs/>
        </w:rPr>
        <w:t xml:space="preserve"> evaluates the runoff reduction that could be achieved with certain </w:t>
      </w:r>
      <w:r w:rsidR="00E32832">
        <w:rPr>
          <w:iCs/>
        </w:rPr>
        <w:t>green infrastructure runoff</w:t>
      </w:r>
      <w:r w:rsidR="00D26BA8">
        <w:rPr>
          <w:iCs/>
        </w:rPr>
        <w:t xml:space="preserve"> controls</w:t>
      </w:r>
      <w:r w:rsidR="0043213D">
        <w:rPr>
          <w:iCs/>
        </w:rPr>
        <w:t xml:space="preserve">. </w:t>
      </w:r>
      <w:r w:rsidR="00D26BA8">
        <w:rPr>
          <w:iCs/>
        </w:rPr>
        <w:t>Schedule 5</w:t>
      </w:r>
      <w:r w:rsidR="00E32832">
        <w:rPr>
          <w:iCs/>
        </w:rPr>
        <w:t>B</w:t>
      </w:r>
      <w:r w:rsidR="00D26BA8">
        <w:rPr>
          <w:iCs/>
        </w:rPr>
        <w:t xml:space="preserve"> evaluates </w:t>
      </w:r>
      <w:r w:rsidR="00CC12CB">
        <w:rPr>
          <w:iCs/>
        </w:rPr>
        <w:t>potential</w:t>
      </w:r>
      <w:r w:rsidR="00D26BA8">
        <w:rPr>
          <w:iCs/>
        </w:rPr>
        <w:t xml:space="preserve"> pipe network CSO controls. </w:t>
      </w:r>
      <w:r>
        <w:t xml:space="preserve">Specific instructions for completion of </w:t>
      </w:r>
      <w:r w:rsidR="00D26BA8">
        <w:t xml:space="preserve">both parts of </w:t>
      </w:r>
      <w:r>
        <w:t>Schedule 5</w:t>
      </w:r>
      <w:r w:rsidR="005B40DF" w:rsidRPr="005B40DF">
        <w:t xml:space="preserve"> – </w:t>
      </w:r>
      <w:r>
        <w:t xml:space="preserve">CSO CONTROL are provided. </w:t>
      </w:r>
      <w:r w:rsidR="008B1462">
        <w:t>N</w:t>
      </w:r>
      <w:r>
        <w:t xml:space="preserve">ote that </w:t>
      </w:r>
      <w:r w:rsidR="00D26BA8">
        <w:t xml:space="preserve">both parts of </w:t>
      </w:r>
      <w:r>
        <w:t xml:space="preserve">Schedule </w:t>
      </w:r>
      <w:r>
        <w:rPr>
          <w:iCs/>
        </w:rPr>
        <w:t>5</w:t>
      </w:r>
      <w:r w:rsidR="005B40DF" w:rsidRPr="005B40DF">
        <w:t xml:space="preserve"> – </w:t>
      </w:r>
      <w:r>
        <w:rPr>
          <w:iCs/>
        </w:rPr>
        <w:t>CSO CONTROL can be used iterative</w:t>
      </w:r>
      <w:r w:rsidR="008B1462">
        <w:rPr>
          <w:iCs/>
        </w:rPr>
        <w:t>ly</w:t>
      </w:r>
      <w:r>
        <w:rPr>
          <w:iCs/>
        </w:rPr>
        <w:t xml:space="preserve"> to identify the most promising CSO control plan with respect to CSO volume </w:t>
      </w:r>
      <w:r>
        <w:rPr>
          <w:iCs/>
        </w:rPr>
        <w:t>reduction and cost.</w:t>
      </w:r>
    </w:p>
    <w:p w:rsidR="0062037C" w:rsidRDefault="00E17BF3" w:rsidP="002874D8">
      <w:pPr>
        <w:pStyle w:val="BodyText"/>
        <w:rPr>
          <w:iCs/>
        </w:rPr>
      </w:pPr>
      <w:r w:rsidRPr="00FA6577">
        <w:rPr>
          <w:rStyle w:val="Bold"/>
        </w:rPr>
        <w:t>Line 14 – CSO Controls.</w:t>
      </w:r>
      <w:r>
        <w:t xml:space="preserve"> </w:t>
      </w:r>
      <w:r w:rsidR="008B1462">
        <w:rPr>
          <w:iCs/>
        </w:rPr>
        <w:t>C</w:t>
      </w:r>
      <w:r>
        <w:rPr>
          <w:iCs/>
        </w:rPr>
        <w:t>heck the app</w:t>
      </w:r>
      <w:r w:rsidRPr="002874D8">
        <w:t>r</w:t>
      </w:r>
      <w:r>
        <w:rPr>
          <w:iCs/>
        </w:rPr>
        <w:t xml:space="preserve">opriate box on Line 14 to indicate whether </w:t>
      </w:r>
      <w:r>
        <w:t>Schedule</w:t>
      </w:r>
      <w:r w:rsidR="004B0472">
        <w:t>s</w:t>
      </w:r>
      <w:r>
        <w:t xml:space="preserve"> 5</w:t>
      </w:r>
      <w:r w:rsidR="00E32832">
        <w:t>A</w:t>
      </w:r>
      <w:r w:rsidR="004B0472">
        <w:t xml:space="preserve"> and 5</w:t>
      </w:r>
      <w:r w:rsidR="00E32832">
        <w:t>B</w:t>
      </w:r>
      <w:r w:rsidRPr="00FA6577">
        <w:rPr>
          <w:rStyle w:val="Bold"/>
        </w:rPr>
        <w:t xml:space="preserve"> </w:t>
      </w:r>
      <w:r>
        <w:t>–</w:t>
      </w:r>
      <w:r w:rsidRPr="00FA6577">
        <w:rPr>
          <w:rStyle w:val="Bold"/>
        </w:rPr>
        <w:t xml:space="preserve"> </w:t>
      </w:r>
      <w:r>
        <w:t>CSO CONTROL or separate documentation</w:t>
      </w:r>
      <w:r>
        <w:rPr>
          <w:iCs/>
        </w:rPr>
        <w:t xml:space="preserve"> </w:t>
      </w:r>
      <w:r w:rsidR="008B1462">
        <w:rPr>
          <w:iCs/>
        </w:rPr>
        <w:t>a</w:t>
      </w:r>
      <w:r w:rsidR="008B1462" w:rsidRPr="002874D8">
        <w:t>re</w:t>
      </w:r>
      <w:r w:rsidRPr="002874D8">
        <w:t xml:space="preserve"> attached to FORM </w:t>
      </w:r>
      <w:r w:rsidR="00FF476A" w:rsidRPr="002874D8">
        <w:t xml:space="preserve">GREEN </w:t>
      </w:r>
      <w:r w:rsidRPr="002874D8">
        <w:t>L</w:t>
      </w:r>
      <w:r>
        <w:t>TCP-EZ</w:t>
      </w:r>
      <w:r w:rsidR="0062037C">
        <w:rPr>
          <w:iCs/>
        </w:rPr>
        <w:t>.</w:t>
      </w:r>
    </w:p>
    <w:p w:rsidR="00E17BF3" w:rsidRDefault="00351B3A" w:rsidP="003859D2">
      <w:pPr>
        <w:pStyle w:val="Heading2"/>
      </w:pPr>
      <w:bookmarkStart w:id="59" w:name="_Toc127078231"/>
      <w:bookmarkStart w:id="60" w:name="_Toc243725239"/>
      <w:bookmarkStart w:id="61" w:name="_Toc243809416"/>
      <w:bookmarkStart w:id="62" w:name="_Toc285015577"/>
      <w:r>
        <w:t xml:space="preserve">Financial </w:t>
      </w:r>
      <w:bookmarkEnd w:id="59"/>
      <w:r w:rsidR="00992743">
        <w:t>Capability</w:t>
      </w:r>
      <w:bookmarkEnd w:id="60"/>
      <w:bookmarkEnd w:id="61"/>
      <w:bookmarkEnd w:id="62"/>
    </w:p>
    <w:p w:rsidR="00E17BF3" w:rsidRDefault="00E17BF3" w:rsidP="002874D8">
      <w:pPr>
        <w:pStyle w:val="BodyText"/>
      </w:pPr>
      <w:r>
        <w:t xml:space="preserve">The CSO Control Policy recognizes the need to address the relative importance of environmental and financial issues when developing an implementation schedule for CSO controls. The ability of small communities to </w:t>
      </w:r>
      <w:r w:rsidR="00773297">
        <w:t>fund</w:t>
      </w:r>
      <w:r>
        <w:t xml:space="preserve"> CSO control influences </w:t>
      </w:r>
      <w:r w:rsidR="00773297">
        <w:t>the</w:t>
      </w:r>
      <w:r>
        <w:t xml:space="preserve"> implementation schedule</w:t>
      </w:r>
      <w:r w:rsidR="0023393D">
        <w:t>.</w:t>
      </w:r>
    </w:p>
    <w:p w:rsidR="00E17BF3" w:rsidRDefault="00430DFB" w:rsidP="002874D8">
      <w:pPr>
        <w:pStyle w:val="BodyText"/>
      </w:pPr>
      <w:r>
        <w:rPr>
          <w:noProof/>
        </w:rPr>
        <mc:AlternateContent>
          <mc:Choice Requires="wps">
            <w:drawing>
              <wp:anchor distT="0" distB="0" distL="114300" distR="114300" simplePos="0" relativeHeight="251647488" behindDoc="0" locked="0" layoutInCell="1" allowOverlap="1">
                <wp:simplePos x="0" y="0"/>
                <wp:positionH relativeFrom="column">
                  <wp:posOffset>-4286250</wp:posOffset>
                </wp:positionH>
                <wp:positionV relativeFrom="page">
                  <wp:posOffset>7581900</wp:posOffset>
                </wp:positionV>
                <wp:extent cx="4185285" cy="1600200"/>
                <wp:effectExtent l="0" t="0" r="0" b="0"/>
                <wp:wrapSquare wrapText="bothSides"/>
                <wp:docPr id="1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28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9D3" w:rsidRDefault="00E659D3" w:rsidP="00E05249">
                            <w:pPr>
                              <w:pStyle w:val="Caption"/>
                            </w:pPr>
                            <w:r>
                              <w:t>Example: Line 11 – Pipe Capacity and Flow Information</w:t>
                            </w:r>
                          </w:p>
                          <w:tbl>
                            <w:tblPr>
                              <w:tblOverlap w:val="never"/>
                              <w:tblW w:w="62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Look w:val="0000" w:firstRow="0" w:lastRow="0" w:firstColumn="0" w:lastColumn="0" w:noHBand="0" w:noVBand="0"/>
                            </w:tblPr>
                            <w:tblGrid>
                              <w:gridCol w:w="2048"/>
                              <w:gridCol w:w="540"/>
                              <w:gridCol w:w="1260"/>
                              <w:gridCol w:w="1260"/>
                              <w:gridCol w:w="1170"/>
                            </w:tblGrid>
                            <w:tr w:rsidR="00E659D3" w:rsidRPr="00E05249" w:rsidTr="00450DCE">
                              <w:trPr>
                                <w:trHeight w:val="263"/>
                              </w:trPr>
                              <w:tc>
                                <w:tcPr>
                                  <w:tcW w:w="2048" w:type="dxa"/>
                                  <w:tcBorders>
                                    <w:top w:val="single" w:sz="4" w:space="0" w:color="auto"/>
                                    <w:left w:val="single" w:sz="4" w:space="0" w:color="auto"/>
                                    <w:right w:val="single" w:sz="4" w:space="0" w:color="auto"/>
                                  </w:tcBorders>
                                  <w:vAlign w:val="bottom"/>
                                </w:tcPr>
                                <w:p w:rsidR="00E659D3" w:rsidRPr="00E05249" w:rsidRDefault="00E659D3" w:rsidP="00E05249">
                                  <w:pPr>
                                    <w:pStyle w:val="tabletext"/>
                                    <w:jc w:val="center"/>
                                    <w:rPr>
                                      <w:b/>
                                    </w:rPr>
                                  </w:pPr>
                                </w:p>
                              </w:tc>
                              <w:tc>
                                <w:tcPr>
                                  <w:tcW w:w="540" w:type="dxa"/>
                                  <w:tcBorders>
                                    <w:top w:val="single" w:sz="4" w:space="0" w:color="auto"/>
                                    <w:left w:val="single" w:sz="4" w:space="0" w:color="auto"/>
                                    <w:right w:val="single" w:sz="4" w:space="0" w:color="auto"/>
                                  </w:tcBorders>
                                  <w:vAlign w:val="bottom"/>
                                </w:tcPr>
                                <w:p w:rsidR="00E659D3" w:rsidRPr="00E05249" w:rsidRDefault="00E659D3" w:rsidP="00E05249">
                                  <w:pPr>
                                    <w:pStyle w:val="tabletext"/>
                                    <w:jc w:val="center"/>
                                    <w:rPr>
                                      <w:b/>
                                    </w:rPr>
                                  </w:pPr>
                                </w:p>
                              </w:tc>
                              <w:tc>
                                <w:tcPr>
                                  <w:tcW w:w="1260" w:type="dxa"/>
                                  <w:tcBorders>
                                    <w:top w:val="single" w:sz="4" w:space="0" w:color="auto"/>
                                    <w:left w:val="single" w:sz="4" w:space="0" w:color="auto"/>
                                    <w:right w:val="single" w:sz="4" w:space="0" w:color="auto"/>
                                  </w:tcBorders>
                                  <w:vAlign w:val="bottom"/>
                                </w:tcPr>
                                <w:p w:rsidR="00E659D3" w:rsidRPr="00E05249" w:rsidRDefault="00E659D3" w:rsidP="00E05249">
                                  <w:pPr>
                                    <w:pStyle w:val="tabletext"/>
                                    <w:jc w:val="center"/>
                                    <w:rPr>
                                      <w:b/>
                                    </w:rPr>
                                  </w:pPr>
                                  <w:r w:rsidRPr="00E05249">
                                    <w:rPr>
                                      <w:b/>
                                    </w:rPr>
                                    <w:t>CSO 001</w:t>
                                  </w:r>
                                </w:p>
                              </w:tc>
                              <w:tc>
                                <w:tcPr>
                                  <w:tcW w:w="1260" w:type="dxa"/>
                                  <w:tcBorders>
                                    <w:top w:val="single" w:sz="4" w:space="0" w:color="auto"/>
                                    <w:left w:val="single" w:sz="4" w:space="0" w:color="auto"/>
                                    <w:right w:val="single" w:sz="4" w:space="0" w:color="auto"/>
                                  </w:tcBorders>
                                  <w:vAlign w:val="bottom"/>
                                </w:tcPr>
                                <w:p w:rsidR="00E659D3" w:rsidRPr="00E05249" w:rsidRDefault="00E659D3" w:rsidP="00E05249">
                                  <w:pPr>
                                    <w:pStyle w:val="tabletext"/>
                                    <w:jc w:val="center"/>
                                    <w:rPr>
                                      <w:b/>
                                    </w:rPr>
                                  </w:pPr>
                                  <w:r w:rsidRPr="00E05249">
                                    <w:rPr>
                                      <w:b/>
                                    </w:rPr>
                                    <w:t>CSO 002</w:t>
                                  </w:r>
                                </w:p>
                              </w:tc>
                              <w:tc>
                                <w:tcPr>
                                  <w:tcW w:w="1170" w:type="dxa"/>
                                  <w:tcBorders>
                                    <w:top w:val="single" w:sz="4" w:space="0" w:color="auto"/>
                                    <w:left w:val="single" w:sz="4" w:space="0" w:color="auto"/>
                                    <w:right w:val="single" w:sz="4" w:space="0" w:color="auto"/>
                                  </w:tcBorders>
                                  <w:vAlign w:val="bottom"/>
                                </w:tcPr>
                                <w:p w:rsidR="00E659D3" w:rsidRPr="00E05249" w:rsidRDefault="00E659D3" w:rsidP="00E05249">
                                  <w:pPr>
                                    <w:pStyle w:val="tabletext"/>
                                    <w:jc w:val="center"/>
                                    <w:rPr>
                                      <w:b/>
                                    </w:rPr>
                                  </w:pPr>
                                  <w:r w:rsidRPr="00E05249">
                                    <w:rPr>
                                      <w:b/>
                                    </w:rPr>
                                    <w:t>CSO 003</w:t>
                                  </w:r>
                                </w:p>
                              </w:tc>
                            </w:tr>
                            <w:tr w:rsidR="00E659D3" w:rsidTr="00E05249">
                              <w:trPr>
                                <w:trHeight w:val="377"/>
                              </w:trPr>
                              <w:tc>
                                <w:tcPr>
                                  <w:tcW w:w="2048" w:type="dxa"/>
                                  <w:vAlign w:val="center"/>
                                </w:tcPr>
                                <w:p w:rsidR="00E659D3" w:rsidRDefault="00E659D3" w:rsidP="00E05249">
                                  <w:pPr>
                                    <w:pStyle w:val="tabletext"/>
                                  </w:pPr>
                                  <w:r w:rsidRPr="00E05249">
                                    <w:rPr>
                                      <w:b/>
                                    </w:rPr>
                                    <w:t>a.</w:t>
                                  </w:r>
                                  <w:r>
                                    <w:t xml:space="preserve"> Type of CSO hydraulic control</w:t>
                                  </w:r>
                                </w:p>
                              </w:tc>
                              <w:tc>
                                <w:tcPr>
                                  <w:tcW w:w="540" w:type="dxa"/>
                                  <w:vAlign w:val="center"/>
                                </w:tcPr>
                                <w:p w:rsidR="00E659D3" w:rsidRPr="00E05249" w:rsidRDefault="00E659D3" w:rsidP="00E05249">
                                  <w:pPr>
                                    <w:pStyle w:val="tabletext"/>
                                    <w:jc w:val="center"/>
                                    <w:rPr>
                                      <w:b/>
                                    </w:rPr>
                                  </w:pPr>
                                  <w:r w:rsidRPr="00E05249">
                                    <w:rPr>
                                      <w:b/>
                                    </w:rPr>
                                    <w:t>11a</w:t>
                                  </w:r>
                                </w:p>
                              </w:tc>
                              <w:tc>
                                <w:tcPr>
                                  <w:tcW w:w="1260" w:type="dxa"/>
                                  <w:vAlign w:val="center"/>
                                </w:tcPr>
                                <w:p w:rsidR="00E659D3" w:rsidRDefault="00E659D3" w:rsidP="00E05249">
                                  <w:pPr>
                                    <w:pStyle w:val="tabletext"/>
                                    <w:jc w:val="center"/>
                                  </w:pPr>
                                  <w:r>
                                    <w:t>Weir</w:t>
                                  </w:r>
                                </w:p>
                              </w:tc>
                              <w:tc>
                                <w:tcPr>
                                  <w:tcW w:w="1260" w:type="dxa"/>
                                  <w:vAlign w:val="center"/>
                                </w:tcPr>
                                <w:p w:rsidR="00E659D3" w:rsidRDefault="00E659D3" w:rsidP="00E05249">
                                  <w:pPr>
                                    <w:pStyle w:val="tabletext"/>
                                    <w:jc w:val="center"/>
                                  </w:pPr>
                                  <w:r>
                                    <w:t>Weir</w:t>
                                  </w:r>
                                </w:p>
                              </w:tc>
                              <w:tc>
                                <w:tcPr>
                                  <w:tcW w:w="1170" w:type="dxa"/>
                                  <w:vAlign w:val="center"/>
                                </w:tcPr>
                                <w:p w:rsidR="00E659D3" w:rsidRDefault="00E659D3" w:rsidP="00E05249">
                                  <w:pPr>
                                    <w:pStyle w:val="tabletext"/>
                                    <w:jc w:val="center"/>
                                  </w:pPr>
                                  <w:r>
                                    <w:t>Pump station</w:t>
                                  </w:r>
                                </w:p>
                              </w:tc>
                            </w:tr>
                            <w:tr w:rsidR="00E659D3" w:rsidTr="00E05249">
                              <w:trPr>
                                <w:trHeight w:val="436"/>
                              </w:trPr>
                              <w:tc>
                                <w:tcPr>
                                  <w:tcW w:w="2048" w:type="dxa"/>
                                  <w:vAlign w:val="center"/>
                                </w:tcPr>
                                <w:p w:rsidR="00E659D3" w:rsidRDefault="00E659D3" w:rsidP="00E05249">
                                  <w:pPr>
                                    <w:pStyle w:val="tabletext"/>
                                  </w:pPr>
                                  <w:r w:rsidRPr="00E05249">
                                    <w:rPr>
                                      <w:b/>
                                    </w:rPr>
                                    <w:t>b.</w:t>
                                  </w:r>
                                  <w:r>
                                    <w:t xml:space="preserve"> CSO hydraulic control capacity (MGD)</w:t>
                                  </w:r>
                                </w:p>
                              </w:tc>
                              <w:tc>
                                <w:tcPr>
                                  <w:tcW w:w="540" w:type="dxa"/>
                                  <w:vAlign w:val="center"/>
                                </w:tcPr>
                                <w:p w:rsidR="00E659D3" w:rsidRPr="00E05249" w:rsidRDefault="00E659D3" w:rsidP="00E05249">
                                  <w:pPr>
                                    <w:pStyle w:val="tabletext"/>
                                    <w:jc w:val="center"/>
                                    <w:rPr>
                                      <w:b/>
                                    </w:rPr>
                                  </w:pPr>
                                  <w:r w:rsidRPr="00E05249">
                                    <w:rPr>
                                      <w:b/>
                                    </w:rPr>
                                    <w:t>11b</w:t>
                                  </w:r>
                                </w:p>
                              </w:tc>
                              <w:tc>
                                <w:tcPr>
                                  <w:tcW w:w="1260" w:type="dxa"/>
                                  <w:vAlign w:val="center"/>
                                </w:tcPr>
                                <w:p w:rsidR="00E659D3" w:rsidRDefault="00E659D3" w:rsidP="00E05249">
                                  <w:pPr>
                                    <w:pStyle w:val="tabletext"/>
                                    <w:jc w:val="center"/>
                                  </w:pPr>
                                  <w:r>
                                    <w:t>1.5</w:t>
                                  </w:r>
                                </w:p>
                              </w:tc>
                              <w:tc>
                                <w:tcPr>
                                  <w:tcW w:w="1260" w:type="dxa"/>
                                  <w:vAlign w:val="center"/>
                                </w:tcPr>
                                <w:p w:rsidR="00E659D3" w:rsidRDefault="00E659D3" w:rsidP="00E05249">
                                  <w:pPr>
                                    <w:pStyle w:val="tabletext"/>
                                    <w:jc w:val="center"/>
                                  </w:pPr>
                                  <w:r>
                                    <w:t>1.5</w:t>
                                  </w:r>
                                </w:p>
                              </w:tc>
                              <w:tc>
                                <w:tcPr>
                                  <w:tcW w:w="1170" w:type="dxa"/>
                                  <w:vAlign w:val="center"/>
                                </w:tcPr>
                                <w:p w:rsidR="00E659D3" w:rsidRDefault="00E659D3" w:rsidP="00E05249">
                                  <w:pPr>
                                    <w:pStyle w:val="tabletext"/>
                                    <w:jc w:val="center"/>
                                  </w:pPr>
                                  <w:r>
                                    <w:t>3.0</w:t>
                                  </w:r>
                                </w:p>
                              </w:tc>
                            </w:tr>
                            <w:tr w:rsidR="00E659D3" w:rsidTr="00E05249">
                              <w:trPr>
                                <w:trHeight w:val="440"/>
                              </w:trPr>
                              <w:tc>
                                <w:tcPr>
                                  <w:tcW w:w="2048" w:type="dxa"/>
                                  <w:vAlign w:val="center"/>
                                </w:tcPr>
                                <w:p w:rsidR="00E659D3" w:rsidRDefault="00E659D3" w:rsidP="00E05249">
                                  <w:pPr>
                                    <w:pStyle w:val="tabletext"/>
                                  </w:pPr>
                                  <w:r w:rsidRPr="00E05249">
                                    <w:rPr>
                                      <w:b/>
                                    </w:rPr>
                                    <w:t>c.</w:t>
                                  </w:r>
                                  <w:r>
                                    <w:t xml:space="preserve"> Name of interceptor or downstream pipe</w:t>
                                  </w:r>
                                </w:p>
                              </w:tc>
                              <w:tc>
                                <w:tcPr>
                                  <w:tcW w:w="540" w:type="dxa"/>
                                  <w:vAlign w:val="center"/>
                                </w:tcPr>
                                <w:p w:rsidR="00E659D3" w:rsidRPr="00E05249" w:rsidRDefault="00E659D3" w:rsidP="00E05249">
                                  <w:pPr>
                                    <w:pStyle w:val="tabletext"/>
                                    <w:jc w:val="center"/>
                                    <w:rPr>
                                      <w:b/>
                                    </w:rPr>
                                  </w:pPr>
                                  <w:r w:rsidRPr="00E05249">
                                    <w:rPr>
                                      <w:b/>
                                    </w:rPr>
                                    <w:t>11c</w:t>
                                  </w:r>
                                </w:p>
                              </w:tc>
                              <w:tc>
                                <w:tcPr>
                                  <w:tcW w:w="1260" w:type="dxa"/>
                                  <w:vAlign w:val="center"/>
                                </w:tcPr>
                                <w:p w:rsidR="00E659D3" w:rsidRDefault="00E659D3" w:rsidP="00E05249">
                                  <w:pPr>
                                    <w:pStyle w:val="tabletext"/>
                                    <w:jc w:val="center"/>
                                  </w:pPr>
                                  <w:smartTag w:uri="urn:schemas-microsoft-com:office:smarttags" w:element="Street">
                                    <w:smartTag w:uri="urn:schemas-microsoft-com:office:smarttags" w:element="address">
                                      <w:r>
                                        <w:t>South Street</w:t>
                                      </w:r>
                                    </w:smartTag>
                                  </w:smartTag>
                                  <w:r>
                                    <w:t xml:space="preserve"> Interceptor</w:t>
                                  </w:r>
                                </w:p>
                              </w:tc>
                              <w:tc>
                                <w:tcPr>
                                  <w:tcW w:w="1260" w:type="dxa"/>
                                  <w:vAlign w:val="center"/>
                                </w:tcPr>
                                <w:p w:rsidR="00E659D3" w:rsidRDefault="00E659D3" w:rsidP="00E05249">
                                  <w:pPr>
                                    <w:pStyle w:val="tabletext"/>
                                    <w:jc w:val="center"/>
                                  </w:pPr>
                                  <w:smartTag w:uri="urn:schemas-microsoft-com:office:smarttags" w:element="Street">
                                    <w:smartTag w:uri="urn:schemas-microsoft-com:office:smarttags" w:element="address">
                                      <w:r>
                                        <w:t>South Street</w:t>
                                      </w:r>
                                    </w:smartTag>
                                  </w:smartTag>
                                  <w:r>
                                    <w:t xml:space="preserve"> Interceptor</w:t>
                                  </w:r>
                                </w:p>
                              </w:tc>
                              <w:tc>
                                <w:tcPr>
                                  <w:tcW w:w="1170" w:type="dxa"/>
                                  <w:vAlign w:val="center"/>
                                </w:tcPr>
                                <w:p w:rsidR="00E659D3" w:rsidRDefault="00E659D3" w:rsidP="00E05249">
                                  <w:pPr>
                                    <w:pStyle w:val="tabletext"/>
                                    <w:jc w:val="center"/>
                                  </w:pPr>
                                  <w:r>
                                    <w:t xml:space="preserve">Central Force </w:t>
                                  </w:r>
                                  <w:smartTag w:uri="urn:schemas-microsoft-com:office:smarttags" w:element="place">
                                    <w:r>
                                      <w:t>Main</w:t>
                                    </w:r>
                                  </w:smartTag>
                                </w:p>
                              </w:tc>
                            </w:tr>
                          </w:tbl>
                          <w:p w:rsidR="00E659D3" w:rsidRDefault="00E659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margin-left:-337.5pt;margin-top:597pt;width:329.55pt;height:1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f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" filled="f" stroked="f">
                <v:textbox>
                  <w:txbxContent>
                    <w:p w:rsidR="00E659D3" w:rsidRDefault="00E659D3" w:rsidP="00E05249">
                      <w:pPr>
                        <w:pStyle w:val="Caption"/>
                      </w:pPr>
                      <w:r>
                        <w:t>Example: Line 11 – Pipe Capacity and Flow Information</w:t>
                      </w:r>
                    </w:p>
                    <w:tbl>
                      <w:tblPr>
                        <w:tblOverlap w:val="never"/>
                        <w:tblW w:w="62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Look w:val="0000" w:firstRow="0" w:lastRow="0" w:firstColumn="0" w:lastColumn="0" w:noHBand="0" w:noVBand="0"/>
                      </w:tblPr>
                      <w:tblGrid>
                        <w:gridCol w:w="2048"/>
                        <w:gridCol w:w="540"/>
                        <w:gridCol w:w="1260"/>
                        <w:gridCol w:w="1260"/>
                        <w:gridCol w:w="1170"/>
                      </w:tblGrid>
                      <w:tr w:rsidR="00E659D3" w:rsidRPr="00E05249" w:rsidTr="00450DCE">
                        <w:trPr>
                          <w:trHeight w:val="263"/>
                        </w:trPr>
                        <w:tc>
                          <w:tcPr>
                            <w:tcW w:w="2048" w:type="dxa"/>
                            <w:tcBorders>
                              <w:top w:val="single" w:sz="4" w:space="0" w:color="auto"/>
                              <w:left w:val="single" w:sz="4" w:space="0" w:color="auto"/>
                              <w:right w:val="single" w:sz="4" w:space="0" w:color="auto"/>
                            </w:tcBorders>
                            <w:vAlign w:val="bottom"/>
                          </w:tcPr>
                          <w:p w:rsidR="00E659D3" w:rsidRPr="00E05249" w:rsidRDefault="00E659D3" w:rsidP="00E05249">
                            <w:pPr>
                              <w:pStyle w:val="tabletext"/>
                              <w:jc w:val="center"/>
                              <w:rPr>
                                <w:b/>
                              </w:rPr>
                            </w:pPr>
                          </w:p>
                        </w:tc>
                        <w:tc>
                          <w:tcPr>
                            <w:tcW w:w="540" w:type="dxa"/>
                            <w:tcBorders>
                              <w:top w:val="single" w:sz="4" w:space="0" w:color="auto"/>
                              <w:left w:val="single" w:sz="4" w:space="0" w:color="auto"/>
                              <w:right w:val="single" w:sz="4" w:space="0" w:color="auto"/>
                            </w:tcBorders>
                            <w:vAlign w:val="bottom"/>
                          </w:tcPr>
                          <w:p w:rsidR="00E659D3" w:rsidRPr="00E05249" w:rsidRDefault="00E659D3" w:rsidP="00E05249">
                            <w:pPr>
                              <w:pStyle w:val="tabletext"/>
                              <w:jc w:val="center"/>
                              <w:rPr>
                                <w:b/>
                              </w:rPr>
                            </w:pPr>
                          </w:p>
                        </w:tc>
                        <w:tc>
                          <w:tcPr>
                            <w:tcW w:w="1260" w:type="dxa"/>
                            <w:tcBorders>
                              <w:top w:val="single" w:sz="4" w:space="0" w:color="auto"/>
                              <w:left w:val="single" w:sz="4" w:space="0" w:color="auto"/>
                              <w:right w:val="single" w:sz="4" w:space="0" w:color="auto"/>
                            </w:tcBorders>
                            <w:vAlign w:val="bottom"/>
                          </w:tcPr>
                          <w:p w:rsidR="00E659D3" w:rsidRPr="00E05249" w:rsidRDefault="00E659D3" w:rsidP="00E05249">
                            <w:pPr>
                              <w:pStyle w:val="tabletext"/>
                              <w:jc w:val="center"/>
                              <w:rPr>
                                <w:b/>
                              </w:rPr>
                            </w:pPr>
                            <w:r w:rsidRPr="00E05249">
                              <w:rPr>
                                <w:b/>
                              </w:rPr>
                              <w:t>CSO 001</w:t>
                            </w:r>
                          </w:p>
                        </w:tc>
                        <w:tc>
                          <w:tcPr>
                            <w:tcW w:w="1260" w:type="dxa"/>
                            <w:tcBorders>
                              <w:top w:val="single" w:sz="4" w:space="0" w:color="auto"/>
                              <w:left w:val="single" w:sz="4" w:space="0" w:color="auto"/>
                              <w:right w:val="single" w:sz="4" w:space="0" w:color="auto"/>
                            </w:tcBorders>
                            <w:vAlign w:val="bottom"/>
                          </w:tcPr>
                          <w:p w:rsidR="00E659D3" w:rsidRPr="00E05249" w:rsidRDefault="00E659D3" w:rsidP="00E05249">
                            <w:pPr>
                              <w:pStyle w:val="tabletext"/>
                              <w:jc w:val="center"/>
                              <w:rPr>
                                <w:b/>
                              </w:rPr>
                            </w:pPr>
                            <w:r w:rsidRPr="00E05249">
                              <w:rPr>
                                <w:b/>
                              </w:rPr>
                              <w:t>CSO 002</w:t>
                            </w:r>
                          </w:p>
                        </w:tc>
                        <w:tc>
                          <w:tcPr>
                            <w:tcW w:w="1170" w:type="dxa"/>
                            <w:tcBorders>
                              <w:top w:val="single" w:sz="4" w:space="0" w:color="auto"/>
                              <w:left w:val="single" w:sz="4" w:space="0" w:color="auto"/>
                              <w:right w:val="single" w:sz="4" w:space="0" w:color="auto"/>
                            </w:tcBorders>
                            <w:vAlign w:val="bottom"/>
                          </w:tcPr>
                          <w:p w:rsidR="00E659D3" w:rsidRPr="00E05249" w:rsidRDefault="00E659D3" w:rsidP="00E05249">
                            <w:pPr>
                              <w:pStyle w:val="tabletext"/>
                              <w:jc w:val="center"/>
                              <w:rPr>
                                <w:b/>
                              </w:rPr>
                            </w:pPr>
                            <w:r w:rsidRPr="00E05249">
                              <w:rPr>
                                <w:b/>
                              </w:rPr>
                              <w:t>CSO 003</w:t>
                            </w:r>
                          </w:p>
                        </w:tc>
                      </w:tr>
                      <w:tr w:rsidR="00E659D3" w:rsidTr="00E05249">
                        <w:trPr>
                          <w:trHeight w:val="377"/>
                        </w:trPr>
                        <w:tc>
                          <w:tcPr>
                            <w:tcW w:w="2048" w:type="dxa"/>
                            <w:vAlign w:val="center"/>
                          </w:tcPr>
                          <w:p w:rsidR="00E659D3" w:rsidRDefault="00E659D3" w:rsidP="00E05249">
                            <w:pPr>
                              <w:pStyle w:val="tabletext"/>
                            </w:pPr>
                            <w:r w:rsidRPr="00E05249">
                              <w:rPr>
                                <w:b/>
                              </w:rPr>
                              <w:t>a.</w:t>
                            </w:r>
                            <w:r>
                              <w:t xml:space="preserve"> Type of CSO hydraulic control</w:t>
                            </w:r>
                          </w:p>
                        </w:tc>
                        <w:tc>
                          <w:tcPr>
                            <w:tcW w:w="540" w:type="dxa"/>
                            <w:vAlign w:val="center"/>
                          </w:tcPr>
                          <w:p w:rsidR="00E659D3" w:rsidRPr="00E05249" w:rsidRDefault="00E659D3" w:rsidP="00E05249">
                            <w:pPr>
                              <w:pStyle w:val="tabletext"/>
                              <w:jc w:val="center"/>
                              <w:rPr>
                                <w:b/>
                              </w:rPr>
                            </w:pPr>
                            <w:r w:rsidRPr="00E05249">
                              <w:rPr>
                                <w:b/>
                              </w:rPr>
                              <w:t>11a</w:t>
                            </w:r>
                          </w:p>
                        </w:tc>
                        <w:tc>
                          <w:tcPr>
                            <w:tcW w:w="1260" w:type="dxa"/>
                            <w:vAlign w:val="center"/>
                          </w:tcPr>
                          <w:p w:rsidR="00E659D3" w:rsidRDefault="00E659D3" w:rsidP="00E05249">
                            <w:pPr>
                              <w:pStyle w:val="tabletext"/>
                              <w:jc w:val="center"/>
                            </w:pPr>
                            <w:r>
                              <w:t>Weir</w:t>
                            </w:r>
                          </w:p>
                        </w:tc>
                        <w:tc>
                          <w:tcPr>
                            <w:tcW w:w="1260" w:type="dxa"/>
                            <w:vAlign w:val="center"/>
                          </w:tcPr>
                          <w:p w:rsidR="00E659D3" w:rsidRDefault="00E659D3" w:rsidP="00E05249">
                            <w:pPr>
                              <w:pStyle w:val="tabletext"/>
                              <w:jc w:val="center"/>
                            </w:pPr>
                            <w:r>
                              <w:t>Weir</w:t>
                            </w:r>
                          </w:p>
                        </w:tc>
                        <w:tc>
                          <w:tcPr>
                            <w:tcW w:w="1170" w:type="dxa"/>
                            <w:vAlign w:val="center"/>
                          </w:tcPr>
                          <w:p w:rsidR="00E659D3" w:rsidRDefault="00E659D3" w:rsidP="00E05249">
                            <w:pPr>
                              <w:pStyle w:val="tabletext"/>
                              <w:jc w:val="center"/>
                            </w:pPr>
                            <w:r>
                              <w:t>Pump station</w:t>
                            </w:r>
                          </w:p>
                        </w:tc>
                      </w:tr>
                      <w:tr w:rsidR="00E659D3" w:rsidTr="00E05249">
                        <w:trPr>
                          <w:trHeight w:val="436"/>
                        </w:trPr>
                        <w:tc>
                          <w:tcPr>
                            <w:tcW w:w="2048" w:type="dxa"/>
                            <w:vAlign w:val="center"/>
                          </w:tcPr>
                          <w:p w:rsidR="00E659D3" w:rsidRDefault="00E659D3" w:rsidP="00E05249">
                            <w:pPr>
                              <w:pStyle w:val="tabletext"/>
                            </w:pPr>
                            <w:r w:rsidRPr="00E05249">
                              <w:rPr>
                                <w:b/>
                              </w:rPr>
                              <w:t>b.</w:t>
                            </w:r>
                            <w:r>
                              <w:t xml:space="preserve"> CSO hydraulic control capacity (MGD)</w:t>
                            </w:r>
                          </w:p>
                        </w:tc>
                        <w:tc>
                          <w:tcPr>
                            <w:tcW w:w="540" w:type="dxa"/>
                            <w:vAlign w:val="center"/>
                          </w:tcPr>
                          <w:p w:rsidR="00E659D3" w:rsidRPr="00E05249" w:rsidRDefault="00E659D3" w:rsidP="00E05249">
                            <w:pPr>
                              <w:pStyle w:val="tabletext"/>
                              <w:jc w:val="center"/>
                              <w:rPr>
                                <w:b/>
                              </w:rPr>
                            </w:pPr>
                            <w:r w:rsidRPr="00E05249">
                              <w:rPr>
                                <w:b/>
                              </w:rPr>
                              <w:t>11b</w:t>
                            </w:r>
                          </w:p>
                        </w:tc>
                        <w:tc>
                          <w:tcPr>
                            <w:tcW w:w="1260" w:type="dxa"/>
                            <w:vAlign w:val="center"/>
                          </w:tcPr>
                          <w:p w:rsidR="00E659D3" w:rsidRDefault="00E659D3" w:rsidP="00E05249">
                            <w:pPr>
                              <w:pStyle w:val="tabletext"/>
                              <w:jc w:val="center"/>
                            </w:pPr>
                            <w:r>
                              <w:t>1.5</w:t>
                            </w:r>
                          </w:p>
                        </w:tc>
                        <w:tc>
                          <w:tcPr>
                            <w:tcW w:w="1260" w:type="dxa"/>
                            <w:vAlign w:val="center"/>
                          </w:tcPr>
                          <w:p w:rsidR="00E659D3" w:rsidRDefault="00E659D3" w:rsidP="00E05249">
                            <w:pPr>
                              <w:pStyle w:val="tabletext"/>
                              <w:jc w:val="center"/>
                            </w:pPr>
                            <w:r>
                              <w:t>1.5</w:t>
                            </w:r>
                          </w:p>
                        </w:tc>
                        <w:tc>
                          <w:tcPr>
                            <w:tcW w:w="1170" w:type="dxa"/>
                            <w:vAlign w:val="center"/>
                          </w:tcPr>
                          <w:p w:rsidR="00E659D3" w:rsidRDefault="00E659D3" w:rsidP="00E05249">
                            <w:pPr>
                              <w:pStyle w:val="tabletext"/>
                              <w:jc w:val="center"/>
                            </w:pPr>
                            <w:r>
                              <w:t>3.0</w:t>
                            </w:r>
                          </w:p>
                        </w:tc>
                      </w:tr>
                      <w:tr w:rsidR="00E659D3" w:rsidTr="00E05249">
                        <w:trPr>
                          <w:trHeight w:val="440"/>
                        </w:trPr>
                        <w:tc>
                          <w:tcPr>
                            <w:tcW w:w="2048" w:type="dxa"/>
                            <w:vAlign w:val="center"/>
                          </w:tcPr>
                          <w:p w:rsidR="00E659D3" w:rsidRDefault="00E659D3" w:rsidP="00E05249">
                            <w:pPr>
                              <w:pStyle w:val="tabletext"/>
                            </w:pPr>
                            <w:r w:rsidRPr="00E05249">
                              <w:rPr>
                                <w:b/>
                              </w:rPr>
                              <w:t>c.</w:t>
                            </w:r>
                            <w:r>
                              <w:t xml:space="preserve"> Name of interceptor or downstream pipe</w:t>
                            </w:r>
                          </w:p>
                        </w:tc>
                        <w:tc>
                          <w:tcPr>
                            <w:tcW w:w="540" w:type="dxa"/>
                            <w:vAlign w:val="center"/>
                          </w:tcPr>
                          <w:p w:rsidR="00E659D3" w:rsidRPr="00E05249" w:rsidRDefault="00E659D3" w:rsidP="00E05249">
                            <w:pPr>
                              <w:pStyle w:val="tabletext"/>
                              <w:jc w:val="center"/>
                              <w:rPr>
                                <w:b/>
                              </w:rPr>
                            </w:pPr>
                            <w:r w:rsidRPr="00E05249">
                              <w:rPr>
                                <w:b/>
                              </w:rPr>
                              <w:t>11c</w:t>
                            </w:r>
                          </w:p>
                        </w:tc>
                        <w:tc>
                          <w:tcPr>
                            <w:tcW w:w="1260" w:type="dxa"/>
                            <w:vAlign w:val="center"/>
                          </w:tcPr>
                          <w:p w:rsidR="00E659D3" w:rsidRDefault="00E659D3" w:rsidP="00E05249">
                            <w:pPr>
                              <w:pStyle w:val="tabletext"/>
                              <w:jc w:val="center"/>
                            </w:pPr>
                            <w:smartTag w:uri="urn:schemas-microsoft-com:office:smarttags" w:element="Street">
                              <w:smartTag w:uri="urn:schemas-microsoft-com:office:smarttags" w:element="address">
                                <w:r>
                                  <w:t>South Street</w:t>
                                </w:r>
                              </w:smartTag>
                            </w:smartTag>
                            <w:r>
                              <w:t xml:space="preserve"> Interceptor</w:t>
                            </w:r>
                          </w:p>
                        </w:tc>
                        <w:tc>
                          <w:tcPr>
                            <w:tcW w:w="1260" w:type="dxa"/>
                            <w:vAlign w:val="center"/>
                          </w:tcPr>
                          <w:p w:rsidR="00E659D3" w:rsidRDefault="00E659D3" w:rsidP="00E05249">
                            <w:pPr>
                              <w:pStyle w:val="tabletext"/>
                              <w:jc w:val="center"/>
                            </w:pPr>
                            <w:smartTag w:uri="urn:schemas-microsoft-com:office:smarttags" w:element="Street">
                              <w:smartTag w:uri="urn:schemas-microsoft-com:office:smarttags" w:element="address">
                                <w:r>
                                  <w:t>South Street</w:t>
                                </w:r>
                              </w:smartTag>
                            </w:smartTag>
                            <w:r>
                              <w:t xml:space="preserve"> Interceptor</w:t>
                            </w:r>
                          </w:p>
                        </w:tc>
                        <w:tc>
                          <w:tcPr>
                            <w:tcW w:w="1170" w:type="dxa"/>
                            <w:vAlign w:val="center"/>
                          </w:tcPr>
                          <w:p w:rsidR="00E659D3" w:rsidRDefault="00E659D3" w:rsidP="00E05249">
                            <w:pPr>
                              <w:pStyle w:val="tabletext"/>
                              <w:jc w:val="center"/>
                            </w:pPr>
                            <w:r>
                              <w:t xml:space="preserve">Central Force </w:t>
                            </w:r>
                            <w:smartTag w:uri="urn:schemas-microsoft-com:office:smarttags" w:element="place">
                              <w:r>
                                <w:t>Main</w:t>
                              </w:r>
                            </w:smartTag>
                          </w:p>
                        </w:tc>
                      </w:tr>
                    </w:tbl>
                    <w:p w:rsidR="00E659D3" w:rsidRDefault="00E659D3"/>
                  </w:txbxContent>
                </v:textbox>
                <w10:wrap type="square" anchory="page"/>
              </v:shape>
            </w:pict>
          </mc:Fallback>
        </mc:AlternateContent>
      </w:r>
      <w:r w:rsidR="00E17BF3">
        <w:t>Schedule 6</w:t>
      </w:r>
      <w:r w:rsidR="00E17BF3" w:rsidRPr="00FA6577">
        <w:rPr>
          <w:rStyle w:val="Bold"/>
        </w:rPr>
        <w:t xml:space="preserve"> </w:t>
      </w:r>
      <w:r w:rsidR="00E17BF3">
        <w:t>–</w:t>
      </w:r>
      <w:r w:rsidR="00E17BF3" w:rsidRPr="00FA6577">
        <w:rPr>
          <w:rStyle w:val="Bold"/>
        </w:rPr>
        <w:t xml:space="preserve"> </w:t>
      </w:r>
      <w:r w:rsidR="00E17BF3">
        <w:t xml:space="preserve">CSO </w:t>
      </w:r>
      <w:r w:rsidR="00351B3A">
        <w:t xml:space="preserve">FINANCIAL </w:t>
      </w:r>
      <w:r w:rsidR="00992743">
        <w:t>CAPABILITY</w:t>
      </w:r>
      <w:r w:rsidR="00E17BF3">
        <w:t xml:space="preserve"> provides an assessment of financial capability in a two-step process. Step One involves determination of a residential indicator to assess the ability of the resident and the community to </w:t>
      </w:r>
      <w:r w:rsidR="00773297">
        <w:t>finance</w:t>
      </w:r>
      <w:r w:rsidR="00E17BF3">
        <w:t xml:space="preserve"> CSO controls. Step Two involves determin</w:t>
      </w:r>
      <w:r w:rsidR="008B1462">
        <w:t>ing</w:t>
      </w:r>
      <w:r w:rsidR="00E17BF3">
        <w:t xml:space="preserve"> a permittee</w:t>
      </w:r>
      <w:r w:rsidR="008B1462">
        <w:t>’s</w:t>
      </w:r>
      <w:r w:rsidR="00E17BF3">
        <w:t xml:space="preserve"> financial indicator to assess the financial capability of the permittee to fund and implement CSO controls. Information from both Step One and Step Two is used to determine </w:t>
      </w:r>
      <w:r w:rsidR="00351B3A">
        <w:t>financial c</w:t>
      </w:r>
      <w:r w:rsidR="00992743">
        <w:t>apability</w:t>
      </w:r>
      <w:r w:rsidR="00E17BF3">
        <w:t>.</w:t>
      </w:r>
    </w:p>
    <w:p w:rsidR="0062037C" w:rsidRDefault="00E17BF3" w:rsidP="002874D8">
      <w:pPr>
        <w:pStyle w:val="BodyText"/>
      </w:pPr>
      <w:r w:rsidRPr="00FA6577">
        <w:rPr>
          <w:rStyle w:val="Bold"/>
        </w:rPr>
        <w:t xml:space="preserve">Line 15 – </w:t>
      </w:r>
      <w:r w:rsidR="00351B3A" w:rsidRPr="00FA6577">
        <w:rPr>
          <w:rStyle w:val="Bold"/>
        </w:rPr>
        <w:t xml:space="preserve">Financial </w:t>
      </w:r>
      <w:r w:rsidR="00992743" w:rsidRPr="00FA6577">
        <w:rPr>
          <w:rStyle w:val="Bold"/>
        </w:rPr>
        <w:t>Capability</w:t>
      </w:r>
      <w:r w:rsidRPr="00FA6577">
        <w:rPr>
          <w:rStyle w:val="Bold"/>
        </w:rPr>
        <w:t xml:space="preserve">. </w:t>
      </w:r>
      <w:r>
        <w:t xml:space="preserve">Permittees are encouraged to assess their financial capability </w:t>
      </w:r>
      <w:r w:rsidR="00773297">
        <w:t>to fund</w:t>
      </w:r>
      <w:r>
        <w:t xml:space="preserve"> the LTCP. </w:t>
      </w:r>
      <w:r w:rsidR="008B1462">
        <w:t>C</w:t>
      </w:r>
      <w:r>
        <w:t>heck the box in Line 15 if Schedule 6</w:t>
      </w:r>
      <w:r w:rsidR="005B40DF" w:rsidRPr="005B40DF">
        <w:t xml:space="preserve"> – </w:t>
      </w:r>
      <w:r>
        <w:t xml:space="preserve">CSO </w:t>
      </w:r>
      <w:r w:rsidR="00351B3A">
        <w:t xml:space="preserve">FINANCIAL </w:t>
      </w:r>
      <w:r w:rsidR="00992743">
        <w:t>CAPABILITY</w:t>
      </w:r>
      <w:r>
        <w:t xml:space="preserve"> is attached to FORM </w:t>
      </w:r>
      <w:r w:rsidR="00FF476A">
        <w:t xml:space="preserve">GREEN </w:t>
      </w:r>
      <w:r>
        <w:t xml:space="preserve">LTCP-EZ and enter the appropriate </w:t>
      </w:r>
      <w:r w:rsidR="00351B3A">
        <w:t>financial c</w:t>
      </w:r>
      <w:r w:rsidR="00992743">
        <w:t>apability</w:t>
      </w:r>
      <w:r>
        <w:t xml:space="preserve"> burden in Line 15a. Otherwise, proceed to Line 16</w:t>
      </w:r>
      <w:r w:rsidR="0062037C">
        <w:t>.</w:t>
      </w:r>
    </w:p>
    <w:p w:rsidR="00E17BF3" w:rsidRDefault="00E17BF3" w:rsidP="002874D8">
      <w:pPr>
        <w:pStyle w:val="BodyText"/>
      </w:pPr>
      <w:r w:rsidRPr="00FA6577">
        <w:rPr>
          <w:rStyle w:val="Bold"/>
        </w:rPr>
        <w:t>Line 15a</w:t>
      </w:r>
      <w:r>
        <w:t xml:space="preserve"> </w:t>
      </w:r>
      <w:r w:rsidRPr="00FA6577">
        <w:rPr>
          <w:rStyle w:val="Bold"/>
        </w:rPr>
        <w:t xml:space="preserve">– </w:t>
      </w:r>
      <w:r w:rsidR="00351B3A" w:rsidRPr="00FA6577">
        <w:rPr>
          <w:rStyle w:val="Bold"/>
        </w:rPr>
        <w:t xml:space="preserve">Financial </w:t>
      </w:r>
      <w:r w:rsidR="00C469AF" w:rsidRPr="00FA6577">
        <w:rPr>
          <w:rStyle w:val="Bold"/>
        </w:rPr>
        <w:t>Capability Burden</w:t>
      </w:r>
      <w:r w:rsidRPr="00FA6577">
        <w:rPr>
          <w:rStyle w:val="Bold"/>
        </w:rPr>
        <w:t xml:space="preserve">. </w:t>
      </w:r>
      <w:r>
        <w:rPr>
          <w:bCs/>
        </w:rPr>
        <w:t xml:space="preserve">Enter </w:t>
      </w:r>
      <w:r>
        <w:t xml:space="preserve">the appropriate </w:t>
      </w:r>
      <w:r w:rsidR="00351B3A">
        <w:t>financial c</w:t>
      </w:r>
      <w:r w:rsidR="00992743">
        <w:t>apability</w:t>
      </w:r>
      <w:r>
        <w:t xml:space="preserve"> burden (low, medium, or high) </w:t>
      </w:r>
      <w:r>
        <w:lastRenderedPageBreak/>
        <w:t>from Schedule 6</w:t>
      </w:r>
      <w:r w:rsidRPr="008B1462">
        <w:t xml:space="preserve"> – </w:t>
      </w:r>
      <w:r>
        <w:rPr>
          <w:bCs/>
        </w:rPr>
        <w:t xml:space="preserve">CSO </w:t>
      </w:r>
      <w:r w:rsidR="00351B3A">
        <w:rPr>
          <w:bCs/>
        </w:rPr>
        <w:t xml:space="preserve">FINANCIAL </w:t>
      </w:r>
      <w:r w:rsidR="00992743">
        <w:rPr>
          <w:bCs/>
        </w:rPr>
        <w:t>CAPABILITY</w:t>
      </w:r>
      <w:r>
        <w:t>.</w:t>
      </w:r>
    </w:p>
    <w:p w:rsidR="00E17BF3" w:rsidRDefault="00E17BF3" w:rsidP="003859D2">
      <w:pPr>
        <w:pStyle w:val="Heading2"/>
      </w:pPr>
      <w:bookmarkStart w:id="63" w:name="_Toc127078233"/>
      <w:bookmarkStart w:id="64" w:name="_Toc243725240"/>
      <w:bookmarkStart w:id="65" w:name="_Toc243809417"/>
      <w:bookmarkStart w:id="66" w:name="_Toc285015578"/>
      <w:r>
        <w:t>Recommended CSO Control Plan</w:t>
      </w:r>
      <w:bookmarkEnd w:id="63"/>
      <w:bookmarkEnd w:id="64"/>
      <w:bookmarkEnd w:id="65"/>
      <w:bookmarkEnd w:id="66"/>
    </w:p>
    <w:p w:rsidR="0062037C" w:rsidRDefault="00E17BF3" w:rsidP="002874D8">
      <w:pPr>
        <w:pStyle w:val="BodyText"/>
      </w:pPr>
      <w:r>
        <w:t xml:space="preserve">The </w:t>
      </w:r>
      <w:r w:rsidR="00FF476A">
        <w:t xml:space="preserve">Green </w:t>
      </w:r>
      <w:r>
        <w:t>LTCP-EZ Template guides permittees through a series of analyses and evaluations that form the basis of a draft LTCP for small communities. The recommended CSO controls need to be summarized so that the permitting authority and other interested parties can review them. Line 16 is used for this purpose</w:t>
      </w:r>
      <w:r w:rsidR="0062037C">
        <w:t>.</w:t>
      </w:r>
    </w:p>
    <w:p w:rsidR="0062037C" w:rsidRDefault="00E17BF3" w:rsidP="002874D8">
      <w:pPr>
        <w:pStyle w:val="BodyText"/>
      </w:pPr>
      <w:r w:rsidRPr="00FA6577">
        <w:rPr>
          <w:rStyle w:val="Bold"/>
        </w:rPr>
        <w:t>Line 16 – Recommended CSO Control Plan.</w:t>
      </w:r>
      <w:r>
        <w:t xml:space="preserve"> Documentation of the evaluation of CSO control alternatives is required </w:t>
      </w:r>
      <w:r>
        <w:rPr>
          <w:iCs/>
        </w:rPr>
        <w:t>(CSO Control Policy Section II.C.4.).</w:t>
      </w:r>
      <w:r>
        <w:t xml:space="preserve"> Permittees that have used Schedule</w:t>
      </w:r>
      <w:r w:rsidR="00D26BA8">
        <w:t>s</w:t>
      </w:r>
      <w:r>
        <w:t xml:space="preserve"> 5</w:t>
      </w:r>
      <w:r w:rsidR="00CC12CB">
        <w:t>A</w:t>
      </w:r>
      <w:r w:rsidR="00D26BA8">
        <w:t xml:space="preserve"> </w:t>
      </w:r>
      <w:r w:rsidR="00CC12CB">
        <w:t>or</w:t>
      </w:r>
      <w:r w:rsidR="00D26BA8">
        <w:t xml:space="preserve"> 5</w:t>
      </w:r>
      <w:r w:rsidR="00CC12CB">
        <w:t>B</w:t>
      </w:r>
      <w:r>
        <w:t xml:space="preserve"> - CSO CONTROL to select CSO controls should bring the information from Schedule</w:t>
      </w:r>
      <w:r w:rsidR="00D26BA8">
        <w:t>s</w:t>
      </w:r>
      <w:r>
        <w:t xml:space="preserve"> 5</w:t>
      </w:r>
      <w:r w:rsidR="00E32832">
        <w:t>A</w:t>
      </w:r>
      <w:r w:rsidR="00D26BA8">
        <w:t xml:space="preserve"> and</w:t>
      </w:r>
      <w:r w:rsidR="00CC12CB">
        <w:t>/or</w:t>
      </w:r>
      <w:r w:rsidR="00D26BA8">
        <w:t xml:space="preserve"> 5</w:t>
      </w:r>
      <w:r w:rsidR="00E32832">
        <w:t>B</w:t>
      </w:r>
      <w:r w:rsidRPr="008B1462">
        <w:t xml:space="preserve"> – </w:t>
      </w:r>
      <w:r>
        <w:t xml:space="preserve">CSO CONTROL forward to Line </w:t>
      </w:r>
      <w:smartTag w:uri="urn:schemas-microsoft-com:office:smarttags" w:element="metricconverter">
        <w:smartTagPr>
          <w:attr w:name="ProductID" w:val="16 in"/>
        </w:smartTagPr>
        <w:r>
          <w:t>16 in</w:t>
        </w:r>
      </w:smartTag>
      <w:r>
        <w:t xml:space="preserve"> FORM </w:t>
      </w:r>
      <w:r w:rsidR="00FF476A">
        <w:t xml:space="preserve">GREEN </w:t>
      </w:r>
      <w:r>
        <w:t>LTCP-EZ. Permittees who have completed their own evaluation of CSO alternatives (that is, permittees that did not use Schedule</w:t>
      </w:r>
      <w:r w:rsidR="00D26BA8">
        <w:t>s</w:t>
      </w:r>
      <w:r>
        <w:t xml:space="preserve"> 5</w:t>
      </w:r>
      <w:r w:rsidR="00E32832">
        <w:t>A</w:t>
      </w:r>
      <w:r w:rsidR="00D26BA8">
        <w:t xml:space="preserve"> </w:t>
      </w:r>
      <w:r w:rsidR="00CC12CB">
        <w:t>or</w:t>
      </w:r>
      <w:r w:rsidR="00D26BA8">
        <w:t xml:space="preserve"> 5</w:t>
      </w:r>
      <w:r w:rsidR="00E32832">
        <w:t>B</w:t>
      </w:r>
      <w:r w:rsidR="005B40DF" w:rsidRPr="005B40DF">
        <w:t xml:space="preserve"> – </w:t>
      </w:r>
      <w:r>
        <w:t>CSO CONTROL) need to summarize the selected CSO control on Line16 and attach the appropriate documentation</w:t>
      </w:r>
      <w:r w:rsidR="0062037C">
        <w:t>.</w:t>
      </w:r>
    </w:p>
    <w:p w:rsidR="00E17BF3" w:rsidRDefault="00E17BF3" w:rsidP="002874D8">
      <w:pPr>
        <w:pStyle w:val="BodyText"/>
      </w:pPr>
      <w:r w:rsidRPr="00FA6577">
        <w:rPr>
          <w:rStyle w:val="Bold"/>
        </w:rPr>
        <w:t>Line 16a</w:t>
      </w:r>
      <w:r>
        <w:t xml:space="preserve"> </w:t>
      </w:r>
      <w:r w:rsidRPr="00FA6577">
        <w:rPr>
          <w:rStyle w:val="Bold"/>
        </w:rPr>
        <w:t xml:space="preserve">– </w:t>
      </w:r>
      <w:r>
        <w:t>Provide a summary of the CSO controls selected. This information can come from the controls selected on Schedule</w:t>
      </w:r>
      <w:r w:rsidR="00D26BA8">
        <w:t>s</w:t>
      </w:r>
      <w:r>
        <w:t xml:space="preserve"> 5</w:t>
      </w:r>
      <w:r w:rsidR="00E32832">
        <w:t xml:space="preserve">A </w:t>
      </w:r>
      <w:r w:rsidR="00CC12CB">
        <w:t>or</w:t>
      </w:r>
      <w:r w:rsidR="00E32832">
        <w:t xml:space="preserve"> 5B</w:t>
      </w:r>
      <w:r>
        <w:t xml:space="preserve"> – CSO CONTROL, or from other analyses. Section 3.3.5, Identification of Control Alternatives, of EPA’s </w:t>
      </w:r>
      <w:r w:rsidRPr="005822D8">
        <w:rPr>
          <w:rStyle w:val="italic"/>
        </w:rPr>
        <w:t>Combined Sewer Overflows Guidance for Long-Term Control Plan</w:t>
      </w:r>
      <w:r>
        <w:t xml:space="preserve"> document, lists the various source controls, collection system controls, and storage and treatment technologies that m</w:t>
      </w:r>
      <w:r w:rsidR="008B1462">
        <w:t>ight</w:t>
      </w:r>
      <w:r>
        <w:t xml:space="preserve"> be viable</w:t>
      </w:r>
      <w:r w:rsidR="0043213D">
        <w:t xml:space="preserve">. </w:t>
      </w:r>
      <w:r>
        <w:t xml:space="preserve">This document </w:t>
      </w:r>
      <w:r>
        <w:t xml:space="preserve">also discusses preliminary sizing considerations, cost/performance considerations, preliminary siting issues, and preliminary operating strategies, all of which should be discussed on Line 16a of the </w:t>
      </w:r>
      <w:r w:rsidR="00FF476A">
        <w:t xml:space="preserve">Green </w:t>
      </w:r>
      <w:r>
        <w:t>LTCP-EZ Template.</w:t>
      </w:r>
    </w:p>
    <w:p w:rsidR="00E17BF3" w:rsidRDefault="00E17BF3" w:rsidP="002874D8">
      <w:pPr>
        <w:pStyle w:val="BodyText"/>
      </w:pPr>
      <w:r w:rsidRPr="00FA6577">
        <w:rPr>
          <w:rStyle w:val="Bold"/>
        </w:rPr>
        <w:t>Line 16b –</w:t>
      </w:r>
      <w:r>
        <w:t xml:space="preserve"> Provide a summary of the cost of CSO controls selected. Project costs include capital, annual </w:t>
      </w:r>
      <w:r w:rsidR="008B1462">
        <w:t>operation and maintenance (O&amp;M)</w:t>
      </w:r>
      <w:r>
        <w:t>, and life</w:t>
      </w:r>
      <w:r w:rsidR="008B1462">
        <w:t xml:space="preserve"> </w:t>
      </w:r>
      <w:r>
        <w:t>cycle costs. Capital costs should include construction costs, engineering costs for design and services during construction, legal and administrative costs, and typically a contingency. Annual O&amp;M costs reflect the annual costs for labor, utilities, chemicals, spare parts, and other supplies required to operate and maintain the facilities proposed as part of the project. Life-cycle costs refer to the total capital and O&amp;M costs projected to be incurred over the design life of the project.</w:t>
      </w:r>
    </w:p>
    <w:p w:rsidR="00E17BF3" w:rsidRDefault="00E17BF3" w:rsidP="002874D8">
      <w:pPr>
        <w:pStyle w:val="BodyText"/>
      </w:pPr>
      <w:r>
        <w:t xml:space="preserve">At the facilities planning level, cost curves are usually acceptable for estimating capital and O&amp;M costs. When used, cost curves should be indexed to account for inflation, using an index such as the </w:t>
      </w:r>
      <w:r w:rsidRPr="005822D8">
        <w:rPr>
          <w:rStyle w:val="italic"/>
        </w:rPr>
        <w:t>Engineering News</w:t>
      </w:r>
      <w:r w:rsidR="008B1462" w:rsidRPr="005822D8">
        <w:rPr>
          <w:rStyle w:val="italic"/>
        </w:rPr>
        <w:t>-</w:t>
      </w:r>
      <w:r w:rsidRPr="005822D8">
        <w:rPr>
          <w:rStyle w:val="italic"/>
        </w:rPr>
        <w:t>Record</w:t>
      </w:r>
      <w:r>
        <w:t xml:space="preserve"> Cost Correction Index.</w:t>
      </w:r>
    </w:p>
    <w:p w:rsidR="00E17BF3" w:rsidRDefault="00E17BF3" w:rsidP="002874D8">
      <w:pPr>
        <w:pStyle w:val="BodyText"/>
      </w:pPr>
      <w:r w:rsidRPr="00FA6577">
        <w:rPr>
          <w:rStyle w:val="Bold"/>
        </w:rPr>
        <w:t>Line 16c</w:t>
      </w:r>
      <w:r>
        <w:t xml:space="preserve"> </w:t>
      </w:r>
      <w:r w:rsidRPr="00FA6577">
        <w:rPr>
          <w:rStyle w:val="Bold"/>
        </w:rPr>
        <w:t>–</w:t>
      </w:r>
      <w:r>
        <w:t xml:space="preserve"> Provide a description of how the CSO controls selected will be financed. Discuss self-financing including fees, bonds, and grants.</w:t>
      </w:r>
    </w:p>
    <w:p w:rsidR="00E17BF3" w:rsidRDefault="00E17BF3" w:rsidP="002874D8">
      <w:pPr>
        <w:pStyle w:val="BodyText"/>
      </w:pPr>
      <w:r>
        <w:t xml:space="preserve">Section 4.3, Financing Plan, of </w:t>
      </w:r>
      <w:r w:rsidRPr="005822D8">
        <w:rPr>
          <w:rStyle w:val="italic"/>
        </w:rPr>
        <w:t>Combined Sewer Overflows Guidance for Long-Term Control Plan</w:t>
      </w:r>
      <w:r>
        <w:t xml:space="preserve"> </w:t>
      </w:r>
      <w:r w:rsidR="00311E3A">
        <w:t>(EPA 1995a)</w:t>
      </w:r>
      <w:r>
        <w:t>, states that the LTCP should identify a specific capital and annual cost funding approach</w:t>
      </w:r>
      <w:r w:rsidR="0043213D">
        <w:t xml:space="preserve">. </w:t>
      </w:r>
      <w:r>
        <w:t xml:space="preserve">EPA’s guidance on funding options </w:t>
      </w:r>
      <w:r>
        <w:t>presents a detailed description of financing options and their benefits and limitations, as well as case studies on different approaches municipalities took to fund CSO control projects. It also includes a summary of capital funding options, including bonds, loans, grants, and privatization, as well as annual funding options for O&amp;M costs for CSO controls, annual loan payments, debt service on bonds, and reserves for future equipment replacement.</w:t>
      </w:r>
    </w:p>
    <w:p w:rsidR="00E17BF3" w:rsidRDefault="00E17BF3" w:rsidP="002874D8">
      <w:pPr>
        <w:pStyle w:val="BodyText"/>
      </w:pPr>
      <w:r w:rsidRPr="00FA6577">
        <w:rPr>
          <w:rStyle w:val="Bold"/>
        </w:rPr>
        <w:t>Line 16d</w:t>
      </w:r>
      <w:r>
        <w:t xml:space="preserve"> </w:t>
      </w:r>
      <w:r w:rsidRPr="00FA6577">
        <w:rPr>
          <w:rStyle w:val="Bold"/>
        </w:rPr>
        <w:t>–</w:t>
      </w:r>
      <w:r>
        <w:t xml:space="preserve"> Describe the proposed implementation schedule for the CSO controls selected. The implementation schedule describes the planned timeline for accomplishing all the program activities and construction projects contained in the LTCP. Section 4.5.1.5 of </w:t>
      </w:r>
      <w:r w:rsidRPr="005822D8">
        <w:rPr>
          <w:rStyle w:val="italic"/>
        </w:rPr>
        <w:t>Combined Sewer Overflow Guidance for Permit Writers</w:t>
      </w:r>
      <w:r>
        <w:t xml:space="preserve"> </w:t>
      </w:r>
      <w:r w:rsidRPr="0017079F">
        <w:t xml:space="preserve">(EPA </w:t>
      </w:r>
      <w:r w:rsidR="00311E3A">
        <w:t>19</w:t>
      </w:r>
      <w:r w:rsidRPr="0017079F">
        <w:t>95</w:t>
      </w:r>
      <w:r w:rsidR="00311E3A">
        <w:t>c</w:t>
      </w:r>
      <w:r w:rsidRPr="0017079F">
        <w:t>) summariz</w:t>
      </w:r>
      <w:r>
        <w:t>es criteria that should be used in developing acceptable implementation schedules, including</w:t>
      </w:r>
      <w:r w:rsidR="008B1462">
        <w:t xml:space="preserve"> the following</w:t>
      </w:r>
      <w:r>
        <w:t>:</w:t>
      </w:r>
    </w:p>
    <w:p w:rsidR="00E17BF3" w:rsidRDefault="00E17BF3" w:rsidP="00A20390">
      <w:pPr>
        <w:pStyle w:val="bullet"/>
      </w:pPr>
      <w:r>
        <w:t xml:space="preserve">Phased construction schedules should consider </w:t>
      </w:r>
      <w:r w:rsidR="00433FCA">
        <w:t xml:space="preserve">first </w:t>
      </w:r>
      <w:r w:rsidR="008835B0">
        <w:t>eliminating CSOs</w:t>
      </w:r>
      <w:r>
        <w:t xml:space="preserve"> to sensitive areas and use impairment.</w:t>
      </w:r>
    </w:p>
    <w:p w:rsidR="00E17BF3" w:rsidRDefault="00E17BF3" w:rsidP="00A20390">
      <w:pPr>
        <w:pStyle w:val="bullet"/>
      </w:pPr>
      <w:r>
        <w:t xml:space="preserve">Phased schedules should also include an analysis of financial capability (see Schedule 6 – CSO </w:t>
      </w:r>
      <w:r w:rsidR="00351B3A">
        <w:t xml:space="preserve">FINANCIAL </w:t>
      </w:r>
      <w:r w:rsidR="00992743">
        <w:t>CAPABILITY</w:t>
      </w:r>
      <w:r>
        <w:t>).</w:t>
      </w:r>
    </w:p>
    <w:p w:rsidR="0062037C" w:rsidRDefault="00E17BF3" w:rsidP="00A20390">
      <w:pPr>
        <w:pStyle w:val="bullet"/>
      </w:pPr>
      <w:r>
        <w:t>The permittee should evaluate financing options and data, including grant and loan availability, previous and current sewer user fees and rate structures, and other viable funding mechanisms and sources of funding</w:t>
      </w:r>
      <w:r w:rsidR="0062037C">
        <w:t>.</w:t>
      </w:r>
    </w:p>
    <w:p w:rsidR="00E17BF3" w:rsidRDefault="00E17BF3" w:rsidP="00A20390">
      <w:pPr>
        <w:pStyle w:val="bullet"/>
      </w:pPr>
      <w:r>
        <w:t xml:space="preserve">The schedule should include milestones for all major implementation activities, </w:t>
      </w:r>
      <w:r>
        <w:lastRenderedPageBreak/>
        <w:t>including environmental reviews, siting of facilities, site acquisition, and permitting.</w:t>
      </w:r>
    </w:p>
    <w:p w:rsidR="00E17BF3" w:rsidRPr="002522D2" w:rsidRDefault="00E17BF3" w:rsidP="002522D2">
      <w:pPr>
        <w:pStyle w:val="bullet"/>
        <w:sectPr w:rsidR="00E17BF3" w:rsidRPr="002522D2" w:rsidSect="00FA6577">
          <w:headerReference w:type="even" r:id="rId44"/>
          <w:headerReference w:type="default" r:id="rId45"/>
          <w:footerReference w:type="even" r:id="rId46"/>
          <w:footerReference w:type="default" r:id="rId47"/>
          <w:endnotePr>
            <w:numFmt w:val="decimal"/>
            <w:numRestart w:val="eachSect"/>
          </w:endnotePr>
          <w:type w:val="continuous"/>
          <w:pgSz w:w="12240" w:h="15840" w:code="1"/>
          <w:pgMar w:top="1440" w:right="1440" w:bottom="1440" w:left="1440" w:header="720" w:footer="720" w:gutter="0"/>
          <w:cols w:num="3" w:space="360"/>
          <w:docGrid w:linePitch="360"/>
        </w:sectPr>
      </w:pPr>
      <w:r>
        <w:t>The implementation schedule is often negotiated with the permitting authority, and incorporating the information listed above in the schedule provides a good starting point for schedule negotiations.</w:t>
      </w:r>
    </w:p>
    <w:p w:rsidR="00E17BF3" w:rsidRDefault="00A730EA" w:rsidP="002709A2">
      <w:pPr>
        <w:pStyle w:val="Heading1"/>
        <w:rPr>
          <w:sz w:val="24"/>
        </w:rPr>
      </w:pPr>
      <w:bookmarkStart w:id="67" w:name="_Toc243725241"/>
      <w:bookmarkStart w:id="68" w:name="_Toc243809418"/>
      <w:bookmarkStart w:id="69" w:name="_Toc285015579"/>
      <w:r>
        <w:lastRenderedPageBreak/>
        <w:t>Instructions: Schedule</w:t>
      </w:r>
      <w:r w:rsidR="00627DBA">
        <w:t xml:space="preserve"> 4</w:t>
      </w:r>
      <w:r w:rsidR="00C74C05">
        <w:t xml:space="preserve"> – </w:t>
      </w:r>
      <w:r w:rsidR="00E17BF3">
        <w:t xml:space="preserve">CSO </w:t>
      </w:r>
      <w:r>
        <w:t>Volume</w:t>
      </w:r>
      <w:bookmarkEnd w:id="67"/>
      <w:bookmarkEnd w:id="68"/>
      <w:bookmarkEnd w:id="69"/>
    </w:p>
    <w:p w:rsidR="00E17BF3" w:rsidRDefault="00E17BF3" w:rsidP="00FA6577">
      <w:pPr>
        <w:pStyle w:val="Heading2"/>
      </w:pPr>
      <w:bookmarkStart w:id="70" w:name="_Toc243725242"/>
      <w:bookmarkStart w:id="71" w:name="_Toc243809419"/>
      <w:bookmarkStart w:id="72" w:name="_Toc285015580"/>
      <w:r>
        <w:t>Introduction</w:t>
      </w:r>
      <w:bookmarkEnd w:id="70"/>
      <w:bookmarkEnd w:id="71"/>
      <w:bookmarkEnd w:id="72"/>
    </w:p>
    <w:p w:rsidR="0062037C" w:rsidRDefault="00E17BF3" w:rsidP="00FA6577">
      <w:pPr>
        <w:pStyle w:val="BodyText"/>
        <w:rPr>
          <w:iCs/>
        </w:rPr>
      </w:pPr>
      <w:r>
        <w:t>Understanding the response of the CSS to rainfall is critical for evaluat</w:t>
      </w:r>
      <w:r w:rsidR="008B1462">
        <w:t>ing</w:t>
      </w:r>
      <w:r>
        <w:t xml:space="preserve"> the magnitude of CSOs and control needs. Small CSO communities do not typically have the resources to conduct the detailed monitoring and modeling</w:t>
      </w:r>
      <w:r>
        <w:rPr>
          <w:b/>
          <w:bCs/>
          <w:i/>
          <w:iCs/>
        </w:rPr>
        <w:t xml:space="preserve"> </w:t>
      </w:r>
      <w:r>
        <w:rPr>
          <w:bCs/>
          <w:iCs/>
        </w:rPr>
        <w:t xml:space="preserve">necessary to make this determination easily. Schedule 4 </w:t>
      </w:r>
      <w:r w:rsidRPr="008B1462">
        <w:t>–</w:t>
      </w:r>
      <w:r w:rsidRPr="00FA6577">
        <w:rPr>
          <w:rStyle w:val="Bold"/>
        </w:rPr>
        <w:t xml:space="preserve"> </w:t>
      </w:r>
      <w:r>
        <w:rPr>
          <w:bCs/>
          <w:iCs/>
        </w:rPr>
        <w:t xml:space="preserve">CSO VOLUME of the </w:t>
      </w:r>
      <w:r w:rsidR="00FF476A">
        <w:rPr>
          <w:bCs/>
          <w:iCs/>
        </w:rPr>
        <w:t xml:space="preserve">Green </w:t>
      </w:r>
      <w:r>
        <w:rPr>
          <w:bCs/>
          <w:iCs/>
        </w:rPr>
        <w:t xml:space="preserve">LTCP-EZ Template provides a simple, conservative means for assessing CSO control needs. </w:t>
      </w:r>
      <w:r>
        <w:t>The technical approach contained in Schedule 4</w:t>
      </w:r>
      <w:r w:rsidR="005B40DF" w:rsidRPr="005B40DF">
        <w:t xml:space="preserve"> – </w:t>
      </w:r>
      <w:r>
        <w:t xml:space="preserve">CSO VOLUME builds on the general information and CSS characteristics provided in FORM </w:t>
      </w:r>
      <w:r w:rsidR="00FF476A">
        <w:t xml:space="preserve">GREEN </w:t>
      </w:r>
      <w:r>
        <w:t>LTCP-EZ. It rests on a simple interpretation of the presumption approach described in the CSO Control Policy. Under the presumption approach</w:t>
      </w:r>
      <w:r>
        <w:rPr>
          <w:iCs/>
        </w:rPr>
        <w:t>, a CSO community controlling CSOs to no more than an average of four overflow events per year is presumed to have an adequate level of control to meet water quality standards</w:t>
      </w:r>
      <w:r w:rsidR="0062037C">
        <w:rPr>
          <w:iCs/>
        </w:rPr>
        <w:t>.</w:t>
      </w:r>
    </w:p>
    <w:p w:rsidR="00E17BF3" w:rsidRDefault="00E17BF3" w:rsidP="00FA6577">
      <w:pPr>
        <w:pStyle w:val="BodyText"/>
        <w:rPr>
          <w:szCs w:val="20"/>
        </w:rPr>
      </w:pPr>
      <w:r>
        <w:t>The volume of combined sewage that needs to be treated, stored, or eliminated is calculated in Schedule 4</w:t>
      </w:r>
      <w:r w:rsidR="005B40DF" w:rsidRPr="005B40DF">
        <w:t xml:space="preserve"> – </w:t>
      </w:r>
      <w:r>
        <w:t xml:space="preserve">CSO VOLUME. This is called the </w:t>
      </w:r>
      <w:r w:rsidRPr="00B64EF9">
        <w:rPr>
          <w:rStyle w:val="italic"/>
        </w:rPr>
        <w:t>CSO volume</w:t>
      </w:r>
      <w:r>
        <w:t xml:space="preserve">. CSO volume is calculated with a </w:t>
      </w:r>
      <w:r w:rsidRPr="00B64EF9">
        <w:rPr>
          <w:rStyle w:val="italic"/>
        </w:rPr>
        <w:t>design</w:t>
      </w:r>
      <w:r>
        <w:t xml:space="preserve"> </w:t>
      </w:r>
      <w:r w:rsidRPr="00B64EF9">
        <w:rPr>
          <w:rStyle w:val="italic"/>
        </w:rPr>
        <w:t>storm</w:t>
      </w:r>
      <w:r>
        <w:t>, application of the Rational Method (described below) to determine generated runoff, and use of an empirical equation to estimate excess combined sewage and conveyance within the CSS. Once construction of controls is completed, it is expected that compliance monitoring will be used to assess the ability of the controls to reduce CSO frequency to meet the average of four overflow events per year criterion</w:t>
      </w:r>
      <w:r w:rsidR="0062037C">
        <w:t>.</w:t>
      </w:r>
    </w:p>
    <w:p w:rsidR="0062037C" w:rsidRDefault="00E17BF3" w:rsidP="0080545A">
      <w:pPr>
        <w:pStyle w:val="Heading2"/>
      </w:pPr>
      <w:bookmarkStart w:id="73" w:name="_Toc243809420"/>
      <w:bookmarkStart w:id="74" w:name="_Toc285015581"/>
      <w:r>
        <w:t>Design Storm for Small Communities</w:t>
      </w:r>
      <w:bookmarkEnd w:id="73"/>
      <w:bookmarkEnd w:id="74"/>
    </w:p>
    <w:p w:rsidR="0062037C" w:rsidRDefault="00E04767" w:rsidP="00FA6577">
      <w:pPr>
        <w:pStyle w:val="BodyText"/>
      </w:pPr>
      <w:r>
        <w:t>Calculating t</w:t>
      </w:r>
      <w:r w:rsidR="00E17BF3">
        <w:t xml:space="preserve">he volume of runoff and </w:t>
      </w:r>
      <w:r w:rsidR="008835B0">
        <w:t>combined sewage</w:t>
      </w:r>
      <w:r w:rsidR="00E17BF3">
        <w:t xml:space="preserve"> that occurs due to design storm conditions </w:t>
      </w:r>
      <w:r>
        <w:t xml:space="preserve">is the basis for determining what controls are </w:t>
      </w:r>
      <w:r w:rsidR="00C469AF">
        <w:t>needed to</w:t>
      </w:r>
      <w:r w:rsidR="00E17BF3">
        <w:t xml:space="preserve"> limit the occurrence of CSOs to an average of four overflow events per year. The </w:t>
      </w:r>
      <w:r w:rsidR="00FF476A">
        <w:t xml:space="preserve">Green </w:t>
      </w:r>
      <w:r w:rsidR="00E17BF3">
        <w:t>LTCP-EZ Template uses two design storm values, each of which represents a rainfall intensity that, on average, occurs four times per year. These are</w:t>
      </w:r>
    </w:p>
    <w:p w:rsidR="0062037C" w:rsidRDefault="00E17BF3" w:rsidP="00A20390">
      <w:pPr>
        <w:pStyle w:val="bullet"/>
      </w:pPr>
      <w:r>
        <w:t>The statistically</w:t>
      </w:r>
      <w:r w:rsidR="005B40DF">
        <w:t xml:space="preserve"> </w:t>
      </w:r>
      <w:r>
        <w:t xml:space="preserve">derived one-hour, </w:t>
      </w:r>
      <w:r w:rsidR="006C1442">
        <w:t>3</w:t>
      </w:r>
      <w:r>
        <w:t xml:space="preserve">-month rainfall. This design storm represents a peak flow condition. It is reasonably intense, delivers a fairly large volume of rainfall across the CSS, and washes off the </w:t>
      </w:r>
      <w:r w:rsidRPr="004F7A66">
        <w:rPr>
          <w:i/>
        </w:rPr>
        <w:t>first flush</w:t>
      </w:r>
      <w:r>
        <w:t xml:space="preserve">. In addition, the one-hour, </w:t>
      </w:r>
      <w:r w:rsidR="006C1442">
        <w:t>3</w:t>
      </w:r>
      <w:r>
        <w:t>-month rainfall facilitates a simple runoff calculation in the Rational Method. The LTCP must provide control to eliminate the occurrence of CSOs for hourly rainfall up to this intensity</w:t>
      </w:r>
      <w:r w:rsidR="0062037C">
        <w:t>.</w:t>
      </w:r>
    </w:p>
    <w:p w:rsidR="00E17BF3" w:rsidRDefault="00E17BF3" w:rsidP="00A20390">
      <w:pPr>
        <w:pStyle w:val="bullet"/>
      </w:pPr>
      <w:r>
        <w:t>The statistically</w:t>
      </w:r>
      <w:r w:rsidR="005B40DF">
        <w:t xml:space="preserve"> </w:t>
      </w:r>
      <w:r>
        <w:t xml:space="preserve">derived 24-hour, </w:t>
      </w:r>
      <w:r w:rsidR="006C1442">
        <w:t>3</w:t>
      </w:r>
      <w:r>
        <w:t xml:space="preserve">-month rainfall. This design storm complements the one-hour, </w:t>
      </w:r>
      <w:r w:rsidR="006C1442">
        <w:t>3</w:t>
      </w:r>
      <w:r>
        <w:t>-month rainfall in the</w:t>
      </w:r>
      <w:r w:rsidR="00FF476A">
        <w:t xml:space="preserve"> Green </w:t>
      </w:r>
      <w:r>
        <w:t xml:space="preserve">LTCP-EZ Template. The longer 24-hour storm delivers a larger volume of rainfall with the same </w:t>
      </w:r>
      <w:r w:rsidR="006C1442">
        <w:t>3</w:t>
      </w:r>
      <w:r>
        <w:t>-month return interval. The LTCP must provide control to eliminate the occurrence of CSOs for rainfall up to this amount over a 24-hour period</w:t>
      </w:r>
      <w:r w:rsidR="0062037C">
        <w:t>.</w:t>
      </w:r>
    </w:p>
    <w:p w:rsidR="0062037C" w:rsidRDefault="006C1442" w:rsidP="00FA6577">
      <w:pPr>
        <w:pStyle w:val="BodyText"/>
      </w:pPr>
      <w:r>
        <w:t>Using</w:t>
      </w:r>
      <w:r w:rsidR="00E17BF3">
        <w:t xml:space="preserve"> both of these design storms in conjunction with one another ensures that CSO control needs are quantified on </w:t>
      </w:r>
      <w:r>
        <w:t xml:space="preserve">the basis of </w:t>
      </w:r>
      <w:r w:rsidR="00E17BF3">
        <w:t>both rainfall intensity and rainfall volume associated with the return frequency of four times per year</w:t>
      </w:r>
      <w:r w:rsidR="0062037C">
        <w:t>.</w:t>
      </w:r>
    </w:p>
    <w:p w:rsidR="00E17BF3" w:rsidRDefault="00450DCE" w:rsidP="0080545A">
      <w:pPr>
        <w:pStyle w:val="Heading2"/>
      </w:pPr>
      <w:bookmarkStart w:id="75" w:name="_Toc243809421"/>
      <w:bookmarkStart w:id="76" w:name="_Toc285015582"/>
      <w:r>
        <w:br w:type="page"/>
      </w:r>
      <w:r w:rsidR="00E17BF3">
        <w:lastRenderedPageBreak/>
        <w:t>The Rational Method</w:t>
      </w:r>
      <w:bookmarkEnd w:id="75"/>
      <w:bookmarkEnd w:id="76"/>
    </w:p>
    <w:p w:rsidR="00E17BF3" w:rsidRDefault="00E17BF3" w:rsidP="00FA6577">
      <w:pPr>
        <w:pStyle w:val="BodyText"/>
      </w:pPr>
      <w:r>
        <w:t xml:space="preserve">The Rational Method is a standard engineering calculation that is widely used to compute peak flows and runoff volume in small urban watersheds. The Rational Method with a design storm approach is used in the </w:t>
      </w:r>
      <w:r w:rsidR="00FF476A">
        <w:t xml:space="preserve">Green </w:t>
      </w:r>
      <w:r>
        <w:t>LTCP-EZ Template to quantify the amount of runoff volume (the CSO volume) that needs to be controlled for each CSO outfall and contributing sub-sewershed area. The Rational Method equation is given as</w:t>
      </w:r>
      <w:r w:rsidR="0080545A">
        <w:t xml:space="preserve"> follows</w:t>
      </w:r>
      <w:r>
        <w:t>:</w:t>
      </w:r>
    </w:p>
    <w:p w:rsidR="00E17BF3" w:rsidRPr="0080545A" w:rsidRDefault="00E17BF3" w:rsidP="00976A82">
      <w:pPr>
        <w:pStyle w:val="whs1"/>
        <w:spacing w:before="0" w:beforeAutospacing="0" w:after="120" w:afterAutospacing="0"/>
        <w:ind w:left="720"/>
        <w:rPr>
          <w:rFonts w:cs="Arial"/>
          <w:szCs w:val="20"/>
        </w:rPr>
      </w:pPr>
      <w:r w:rsidRPr="0080545A">
        <w:rPr>
          <w:rFonts w:cs="Arial"/>
          <w:i/>
          <w:szCs w:val="20"/>
        </w:rPr>
        <w:t>Q</w:t>
      </w:r>
      <w:r w:rsidRPr="0080545A">
        <w:rPr>
          <w:rFonts w:cs="Arial"/>
          <w:szCs w:val="20"/>
        </w:rPr>
        <w:t xml:space="preserve"> = </w:t>
      </w:r>
      <w:r w:rsidRPr="0080545A">
        <w:rPr>
          <w:rFonts w:cs="Arial"/>
          <w:i/>
          <w:szCs w:val="20"/>
        </w:rPr>
        <w:t>kCiA</w:t>
      </w:r>
    </w:p>
    <w:p w:rsidR="00E17BF3" w:rsidRDefault="008B1462" w:rsidP="009D74AC">
      <w:pPr>
        <w:pStyle w:val="whs1"/>
        <w:keepNext/>
        <w:spacing w:before="0" w:beforeAutospacing="0" w:after="0" w:afterAutospacing="0"/>
        <w:ind w:left="360"/>
        <w:rPr>
          <w:rFonts w:cs="Arial"/>
          <w:szCs w:val="20"/>
        </w:rPr>
      </w:pPr>
      <w:r>
        <w:rPr>
          <w:rFonts w:cs="Arial"/>
          <w:szCs w:val="20"/>
        </w:rPr>
        <w:t>w</w:t>
      </w:r>
      <w:r w:rsidR="00D05C1A">
        <w:rPr>
          <w:rFonts w:cs="Arial"/>
          <w:szCs w:val="20"/>
        </w:rPr>
        <w:t>here</w:t>
      </w:r>
    </w:p>
    <w:p w:rsidR="00450DCE" w:rsidRDefault="00450DCE" w:rsidP="009D74AC">
      <w:pPr>
        <w:pStyle w:val="whs1"/>
        <w:keepNext/>
        <w:spacing w:before="0" w:beforeAutospacing="0" w:after="0" w:afterAutospacing="0"/>
        <w:ind w:left="360"/>
        <w:rPr>
          <w:rFonts w:cs="Arial"/>
          <w:szCs w:val="20"/>
        </w:rPr>
      </w:pPr>
    </w:p>
    <w:p w:rsidR="00E17BF3" w:rsidRDefault="00E17BF3" w:rsidP="009D74AC">
      <w:pPr>
        <w:pStyle w:val="bullet"/>
        <w:keepNext/>
        <w:tabs>
          <w:tab w:val="clear" w:pos="270"/>
        </w:tabs>
        <w:spacing w:after="0"/>
        <w:ind w:left="900"/>
      </w:pPr>
      <w:r w:rsidRPr="0080545A">
        <w:rPr>
          <w:i/>
        </w:rPr>
        <w:t>Q</w:t>
      </w:r>
      <w:r>
        <w:t xml:space="preserve"> = runoff (MGD)</w:t>
      </w:r>
    </w:p>
    <w:p w:rsidR="00E17BF3" w:rsidRDefault="00E17BF3" w:rsidP="009D74AC">
      <w:pPr>
        <w:pStyle w:val="bullet"/>
        <w:tabs>
          <w:tab w:val="clear" w:pos="270"/>
        </w:tabs>
        <w:spacing w:after="0"/>
        <w:ind w:left="900"/>
      </w:pPr>
      <w:r w:rsidRPr="0080545A">
        <w:rPr>
          <w:i/>
        </w:rPr>
        <w:t>k</w:t>
      </w:r>
      <w:r>
        <w:t xml:space="preserve"> = conversion factor (acre-inches/hour to MGD)</w:t>
      </w:r>
    </w:p>
    <w:p w:rsidR="00E17BF3" w:rsidRDefault="00E17BF3" w:rsidP="009D74AC">
      <w:pPr>
        <w:pStyle w:val="bullet"/>
        <w:tabs>
          <w:tab w:val="clear" w:pos="270"/>
        </w:tabs>
        <w:spacing w:after="0"/>
        <w:ind w:left="900"/>
      </w:pPr>
      <w:r w:rsidRPr="0080545A">
        <w:rPr>
          <w:i/>
        </w:rPr>
        <w:t>C</w:t>
      </w:r>
      <w:r>
        <w:t xml:space="preserve"> = runoff coefficient (based on land use)</w:t>
      </w:r>
    </w:p>
    <w:p w:rsidR="00E17BF3" w:rsidRDefault="00E17BF3" w:rsidP="009D74AC">
      <w:pPr>
        <w:pStyle w:val="bullet"/>
        <w:tabs>
          <w:tab w:val="clear" w:pos="270"/>
        </w:tabs>
        <w:spacing w:after="0"/>
        <w:ind w:left="900"/>
      </w:pPr>
      <w:r w:rsidRPr="0080545A">
        <w:rPr>
          <w:i/>
        </w:rPr>
        <w:t>i</w:t>
      </w:r>
      <w:r>
        <w:t xml:space="preserve"> = rainfall intensity (in/hr)</w:t>
      </w:r>
    </w:p>
    <w:p w:rsidR="00E17BF3" w:rsidRDefault="00E17BF3" w:rsidP="00DE2C2C">
      <w:pPr>
        <w:pStyle w:val="bullet"/>
        <w:tabs>
          <w:tab w:val="clear" w:pos="270"/>
        </w:tabs>
        <w:ind w:left="907"/>
      </w:pPr>
      <w:r w:rsidRPr="0080545A">
        <w:rPr>
          <w:i/>
        </w:rPr>
        <w:t>A</w:t>
      </w:r>
      <w:r>
        <w:t xml:space="preserve"> = sub-sewershed area (acres)</w:t>
      </w:r>
    </w:p>
    <w:p w:rsidR="00E17BF3" w:rsidRPr="00FA6577" w:rsidRDefault="00E17BF3" w:rsidP="00FA6577">
      <w:pPr>
        <w:pStyle w:val="BodyText"/>
        <w:rPr>
          <w:rStyle w:val="Bold"/>
        </w:rPr>
      </w:pPr>
      <w:r>
        <w:t xml:space="preserve">The Rational Method is applied twice in the </w:t>
      </w:r>
      <w:r w:rsidR="00FF476A">
        <w:t xml:space="preserve">Green </w:t>
      </w:r>
      <w:r>
        <w:t xml:space="preserve">LTCP-EZ Template: once to determine the peak runoff rate associated with the one-hour, </w:t>
      </w:r>
      <w:r w:rsidR="006C1442">
        <w:t>3</w:t>
      </w:r>
      <w:r>
        <w:t xml:space="preserve">-month rainfall, and once to determine the total volume of runoff associated with the 24-hour, </w:t>
      </w:r>
      <w:r w:rsidR="006C1442">
        <w:t>3</w:t>
      </w:r>
      <w:r>
        <w:t>-month rainfall. When applied properly, the Rational Method is inherently conservative</w:t>
      </w:r>
      <w:r w:rsidR="0062037C">
        <w:t>.</w:t>
      </w:r>
    </w:p>
    <w:p w:rsidR="0062037C" w:rsidRDefault="00E17BF3" w:rsidP="0080545A">
      <w:pPr>
        <w:pStyle w:val="Heading2"/>
      </w:pPr>
      <w:bookmarkStart w:id="77" w:name="_Toc243809422"/>
      <w:bookmarkStart w:id="78" w:name="_Toc285015583"/>
      <w:r>
        <w:t>Calculation of CSO Volume</w:t>
      </w:r>
      <w:bookmarkEnd w:id="77"/>
      <w:bookmarkEnd w:id="78"/>
    </w:p>
    <w:p w:rsidR="00E17BF3" w:rsidRDefault="00E17BF3" w:rsidP="00FA6577">
      <w:pPr>
        <w:pStyle w:val="BodyText"/>
      </w:pPr>
      <w:r>
        <w:t>CSO volume is calculated in sub-sewersheds at individual CSO hydraulic controls (i.e., weir, orifice) and at the WWTP. The procedures used to calculate CSO volume are documented in Appendix B. The following operations are central to the calculations:</w:t>
      </w:r>
    </w:p>
    <w:p w:rsidR="00E17BF3" w:rsidRDefault="00E17BF3" w:rsidP="00A20390">
      <w:pPr>
        <w:pStyle w:val="bullet"/>
      </w:pPr>
      <w:r>
        <w:t>The average dry</w:t>
      </w:r>
      <w:r w:rsidR="006C1442">
        <w:t>-</w:t>
      </w:r>
      <w:r>
        <w:t>weather flow rate of sanitary sewage is added to runoff to create a peak hourly flow rate and is used to calculate a total volume of flow over the 24-hour period.</w:t>
      </w:r>
    </w:p>
    <w:p w:rsidR="00E17BF3" w:rsidRDefault="00E17BF3" w:rsidP="00A20390">
      <w:pPr>
        <w:pStyle w:val="bullet"/>
      </w:pPr>
      <w:r>
        <w:t xml:space="preserve">The ratio of the CSO hydraulic control capacity to the peak flow rate based on the one-hour, </w:t>
      </w:r>
      <w:r w:rsidR="006C1442">
        <w:t>3</w:t>
      </w:r>
      <w:r>
        <w:t>-month rainfall determines the fraction of overflow within sub-sewersheds. (Note: Identif</w:t>
      </w:r>
      <w:r w:rsidR="006C1442">
        <w:t>ying</w:t>
      </w:r>
      <w:r>
        <w:t xml:space="preserve"> realistic hydraulic control capacities is an important part of the </w:t>
      </w:r>
      <w:r w:rsidR="00FF476A">
        <w:t xml:space="preserve">Green </w:t>
      </w:r>
      <w:r>
        <w:t>LTCP-EZ Template. Permittees m</w:t>
      </w:r>
      <w:r w:rsidR="006C1442">
        <w:t>ight</w:t>
      </w:r>
      <w:r>
        <w:t xml:space="preserve"> need to seek assistance from qualified professionals to successfully complete this part of the Template. In addition, it is important that interceptor capacity limitations be taken into account when identifying regulator capacities.)</w:t>
      </w:r>
    </w:p>
    <w:p w:rsidR="00E17BF3" w:rsidRDefault="00E17BF3" w:rsidP="00A20390">
      <w:pPr>
        <w:pStyle w:val="bullet"/>
      </w:pPr>
      <w:r>
        <w:t xml:space="preserve">The overflow fraction is applied to the total volume of flow associated with the 24-hour, </w:t>
      </w:r>
      <w:r w:rsidR="006C1442">
        <w:t>3</w:t>
      </w:r>
      <w:r>
        <w:t>-month rainfall to quantify the volume of excess combined sewage at CSO hydraulic controls. This is the CSO volume at the CSO hydraulic control.</w:t>
      </w:r>
    </w:p>
    <w:p w:rsidR="00E17BF3" w:rsidRDefault="00E17BF3" w:rsidP="00A20390">
      <w:pPr>
        <w:pStyle w:val="bullet"/>
      </w:pPr>
      <w:r>
        <w:t>Diversions to the WWTP at CSO hydraulic controls are governed by an empirical relationship based on the ratio of the CSO hydraulic control capacity to the peak flow rate and conveyance. The diversions to the WWTP at CSO hydraulic controls are a component of the peak sewage conveyed to the WWTP.</w:t>
      </w:r>
    </w:p>
    <w:p w:rsidR="00E17BF3" w:rsidRDefault="00E17BF3" w:rsidP="00A20390">
      <w:pPr>
        <w:pStyle w:val="bullet"/>
      </w:pPr>
      <w:r>
        <w:t>The ratio of primary capacity to peak sewage conveyed to the WWTP determines the fraction of combined sewage untreated at the WWTP. This is the CSO volume at the WWTP.</w:t>
      </w:r>
    </w:p>
    <w:p w:rsidR="00E17BF3" w:rsidRDefault="00E17BF3" w:rsidP="00FA6577">
      <w:pPr>
        <w:pStyle w:val="BodyText"/>
      </w:pPr>
      <w:r>
        <w:t>The Schedule 4</w:t>
      </w:r>
      <w:r w:rsidR="005B40DF" w:rsidRPr="005B40DF">
        <w:t xml:space="preserve"> – </w:t>
      </w:r>
      <w:r>
        <w:t>CSO VOLUME results identify the CSO volume, which is the volume of excess combined sewage that needs to be stored, treated, or eliminated to comply with the presumption approach. The results of the calculations, the excess CSO volumes, are linked to Schedule</w:t>
      </w:r>
      <w:r w:rsidR="0077784E">
        <w:t>s</w:t>
      </w:r>
      <w:r>
        <w:t xml:space="preserve"> 5</w:t>
      </w:r>
      <w:r w:rsidR="00E32832">
        <w:t>A</w:t>
      </w:r>
      <w:r w:rsidR="0077784E">
        <w:t xml:space="preserve"> and 5</w:t>
      </w:r>
      <w:r w:rsidR="00E32832">
        <w:t>B</w:t>
      </w:r>
      <w:r w:rsidR="005B40DF" w:rsidRPr="005B40DF">
        <w:t xml:space="preserve"> – </w:t>
      </w:r>
      <w:r>
        <w:t xml:space="preserve">CSO CONTROL where </w:t>
      </w:r>
      <w:r w:rsidR="00E32832">
        <w:t>green infrastructure</w:t>
      </w:r>
      <w:r w:rsidR="0077784E">
        <w:t xml:space="preserve"> or pipe network </w:t>
      </w:r>
      <w:r>
        <w:t>control alternatives are evaluated at the sub-sewershed level or at the WWTP.</w:t>
      </w:r>
    </w:p>
    <w:p w:rsidR="00E17BF3" w:rsidRDefault="00E17BF3" w:rsidP="0080545A">
      <w:pPr>
        <w:pStyle w:val="Heading2"/>
      </w:pPr>
      <w:bookmarkStart w:id="79" w:name="_Toc243809423"/>
      <w:bookmarkStart w:id="80" w:name="_Toc285015584"/>
      <w:r>
        <w:lastRenderedPageBreak/>
        <w:t>Summary</w:t>
      </w:r>
      <w:bookmarkEnd w:id="79"/>
      <w:bookmarkEnd w:id="80"/>
    </w:p>
    <w:p w:rsidR="0062037C" w:rsidRDefault="00E17BF3" w:rsidP="00FA6577">
      <w:pPr>
        <w:pStyle w:val="BodyText"/>
      </w:pPr>
      <w:r>
        <w:t xml:space="preserve">The </w:t>
      </w:r>
      <w:r w:rsidR="00FF476A">
        <w:t xml:space="preserve">Green </w:t>
      </w:r>
      <w:r>
        <w:t xml:space="preserve">LTCP-EZ Template is designed to provide a very simple assessment of CSO control needs. </w:t>
      </w:r>
      <w:r w:rsidR="006C1442">
        <w:t>Before</w:t>
      </w:r>
      <w:r>
        <w:t xml:space="preserve"> entering data into the </w:t>
      </w:r>
      <w:r w:rsidR="00FF476A">
        <w:t xml:space="preserve">Green </w:t>
      </w:r>
      <w:r>
        <w:t>LTCP-EZ Template, permittees should collect good information on the characteristics of the CSS, including reliable information on CSO hydraulic control capacities</w:t>
      </w:r>
      <w:r w:rsidR="0062037C">
        <w:t>.</w:t>
      </w:r>
    </w:p>
    <w:p w:rsidR="0062037C" w:rsidRDefault="004B10AF" w:rsidP="00FA6577">
      <w:pPr>
        <w:pStyle w:val="BodyText"/>
      </w:pPr>
      <w:bookmarkStart w:id="81" w:name="OLE_LINK13"/>
      <w:bookmarkStart w:id="82" w:name="OLE_LINK14"/>
      <w:r>
        <w:t>Permitting authorities and permittees in cooperation with local authorities need to work closely or provide incentive for</w:t>
      </w:r>
      <w:r w:rsidR="00433FCA">
        <w:t xml:space="preserve"> a maintenance agreement for </w:t>
      </w:r>
      <w:r>
        <w:t>green controls in the privately owned propert</w:t>
      </w:r>
      <w:r w:rsidR="003D7262">
        <w:t>ies</w:t>
      </w:r>
      <w:r>
        <w:t xml:space="preserve"> so that expected and designed results of green CSO controls can be achieved</w:t>
      </w:r>
      <w:r w:rsidR="0062037C">
        <w:t>.</w:t>
      </w:r>
    </w:p>
    <w:bookmarkEnd w:id="81"/>
    <w:bookmarkEnd w:id="82"/>
    <w:p w:rsidR="00E17BF3" w:rsidRDefault="00E17BF3" w:rsidP="00FA6577">
      <w:pPr>
        <w:pStyle w:val="BodyText"/>
      </w:pPr>
      <w:r>
        <w:t xml:space="preserve">Additional detail and documentation on the approach used to identify overflow, diversion and WWTP overflow fractions </w:t>
      </w:r>
      <w:r w:rsidR="006C1442">
        <w:t>are</w:t>
      </w:r>
      <w:r>
        <w:t xml:space="preserve"> provided in Appendix B.</w:t>
      </w:r>
    </w:p>
    <w:p w:rsidR="00E17BF3" w:rsidRDefault="00E17BF3">
      <w:pPr>
        <w:rPr>
          <w:rFonts w:cs="Arial"/>
          <w:szCs w:val="20"/>
        </w:rPr>
      </w:pPr>
    </w:p>
    <w:p w:rsidR="00E17BF3" w:rsidRDefault="00E17BF3">
      <w:pPr>
        <w:rPr>
          <w:rFonts w:cs="Arial"/>
          <w:szCs w:val="20"/>
        </w:rPr>
        <w:sectPr w:rsidR="00E17BF3" w:rsidSect="00313BAF">
          <w:headerReference w:type="default" r:id="rId48"/>
          <w:footerReference w:type="even" r:id="rId49"/>
          <w:endnotePr>
            <w:numFmt w:val="decimal"/>
            <w:numRestart w:val="eachSect"/>
          </w:endnotePr>
          <w:pgSz w:w="12240" w:h="15840" w:code="1"/>
          <w:pgMar w:top="1440" w:right="1440" w:bottom="1440" w:left="1440" w:header="720" w:footer="720" w:gutter="0"/>
          <w:cols w:space="720"/>
          <w:docGrid w:linePitch="360"/>
        </w:sectPr>
      </w:pPr>
    </w:p>
    <w:p w:rsidR="00E17BF3" w:rsidRDefault="00E17BF3" w:rsidP="00441D40">
      <w:pPr>
        <w:pStyle w:val="Heading2"/>
        <w:spacing w:before="0"/>
      </w:pPr>
      <w:bookmarkStart w:id="83" w:name="_Toc127078237"/>
      <w:bookmarkStart w:id="84" w:name="_Toc243725243"/>
      <w:bookmarkStart w:id="85" w:name="_Toc243809424"/>
      <w:bookmarkStart w:id="86" w:name="_Toc285015585"/>
      <w:r>
        <w:lastRenderedPageBreak/>
        <w:t>Sub-Sewershed Area</w:t>
      </w:r>
      <w:bookmarkEnd w:id="83"/>
      <w:bookmarkEnd w:id="84"/>
      <w:bookmarkEnd w:id="85"/>
      <w:bookmarkEnd w:id="86"/>
    </w:p>
    <w:p w:rsidR="00E17BF3" w:rsidRDefault="00E17BF3" w:rsidP="00FA6577">
      <w:pPr>
        <w:pStyle w:val="BodyText"/>
      </w:pPr>
      <w:r>
        <w:t>This section characterizes the contributing area of each CSO sub-sewershed area, the predominant land use, and a runoff coefficient. These values are critical inputs to the runoff calculation developed in this schedule (the Rational Method). Schedule 4</w:t>
      </w:r>
      <w:r w:rsidR="005B40DF" w:rsidRPr="005B40DF">
        <w:t xml:space="preserve"> – </w:t>
      </w:r>
      <w:r>
        <w:t xml:space="preserve">CSO VOLUME is set up to accommodate up to four sub-sewersheds. Additional columns can be added to the schedule as needed if there are more than four CSO sub-sewersheds. The number of sub-sewersheds evaluated on this schedule needs to correspond to the system characterization information included under Form </w:t>
      </w:r>
      <w:r w:rsidR="00FF476A">
        <w:t xml:space="preserve">GREEN </w:t>
      </w:r>
      <w:r>
        <w:t>LTCP-EZ and the map on Schedule 2</w:t>
      </w:r>
      <w:r w:rsidR="005B40DF" w:rsidRPr="005B40DF">
        <w:t xml:space="preserve"> – </w:t>
      </w:r>
      <w:r>
        <w:t>MAP.</w:t>
      </w:r>
    </w:p>
    <w:tbl>
      <w:tblPr>
        <w:tblpPr w:leftFromText="187" w:rightFromText="187" w:horzAnchor="margin" w:tblpXSpec="right" w:tblpYSpec="bottom"/>
        <w:tblW w:w="6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Look w:val="01E0" w:firstRow="1" w:lastRow="1" w:firstColumn="1" w:lastColumn="1" w:noHBand="0" w:noVBand="0"/>
      </w:tblPr>
      <w:tblGrid>
        <w:gridCol w:w="4054"/>
        <w:gridCol w:w="2182"/>
      </w:tblGrid>
      <w:tr w:rsidR="00E17BF3" w:rsidTr="00F2178F">
        <w:tc>
          <w:tcPr>
            <w:tcW w:w="6236" w:type="dxa"/>
            <w:gridSpan w:val="2"/>
            <w:tcBorders>
              <w:top w:val="nil"/>
              <w:left w:val="nil"/>
              <w:right w:val="nil"/>
            </w:tcBorders>
          </w:tcPr>
          <w:p w:rsidR="00E17BF3" w:rsidRDefault="00E17BF3" w:rsidP="00D91ED5">
            <w:pPr>
              <w:pStyle w:val="Caption"/>
              <w:rPr>
                <w:bCs/>
              </w:rPr>
            </w:pPr>
            <w:r>
              <w:t xml:space="preserve">Table 1. Runoff </w:t>
            </w:r>
            <w:r w:rsidR="00441D40">
              <w:t>c</w:t>
            </w:r>
            <w:r>
              <w:t xml:space="preserve">oefficients for </w:t>
            </w:r>
            <w:r w:rsidR="00441D40">
              <w:t>the r</w:t>
            </w:r>
            <w:r>
              <w:t xml:space="preserve">ational </w:t>
            </w:r>
            <w:r w:rsidR="00441D40">
              <w:t>f</w:t>
            </w:r>
            <w:r>
              <w:t>ormula</w:t>
            </w:r>
          </w:p>
        </w:tc>
      </w:tr>
      <w:tr w:rsidR="00E17BF3" w:rsidTr="00F2178F">
        <w:tc>
          <w:tcPr>
            <w:tcW w:w="4054" w:type="dxa"/>
          </w:tcPr>
          <w:p w:rsidR="00E17BF3" w:rsidRPr="0054438A" w:rsidRDefault="00E17BF3" w:rsidP="008063F0">
            <w:pPr>
              <w:pStyle w:val="tabletext"/>
              <w:framePr w:hSpace="0" w:wrap="auto" w:vAnchor="margin" w:hAnchor="text" w:xAlign="left" w:yAlign="inline"/>
              <w:suppressOverlap w:val="0"/>
              <w:rPr>
                <w:b/>
              </w:rPr>
            </w:pPr>
            <w:r w:rsidRPr="0054438A">
              <w:rPr>
                <w:b/>
              </w:rPr>
              <w:t xml:space="preserve">Type of </w:t>
            </w:r>
            <w:r w:rsidR="00441D40" w:rsidRPr="0054438A">
              <w:rPr>
                <w:b/>
              </w:rPr>
              <w:t xml:space="preserve">area </w:t>
            </w:r>
            <w:r w:rsidRPr="0054438A">
              <w:rPr>
                <w:b/>
              </w:rPr>
              <w:t>(</w:t>
            </w:r>
            <w:r w:rsidR="00441D40" w:rsidRPr="0054438A">
              <w:rPr>
                <w:b/>
              </w:rPr>
              <w:t>principal land use</w:t>
            </w:r>
            <w:r w:rsidRPr="0054438A">
              <w:rPr>
                <w:b/>
              </w:rPr>
              <w:t>)</w:t>
            </w:r>
          </w:p>
        </w:tc>
        <w:tc>
          <w:tcPr>
            <w:tcW w:w="2182" w:type="dxa"/>
          </w:tcPr>
          <w:p w:rsidR="00E17BF3" w:rsidRPr="0054438A" w:rsidRDefault="00E17BF3" w:rsidP="008063F0">
            <w:pPr>
              <w:pStyle w:val="tabletext"/>
              <w:framePr w:hSpace="0" w:wrap="auto" w:vAnchor="margin" w:hAnchor="text" w:xAlign="left" w:yAlign="inline"/>
              <w:suppressOverlap w:val="0"/>
              <w:rPr>
                <w:b/>
              </w:rPr>
            </w:pPr>
            <w:r w:rsidRPr="0054438A">
              <w:rPr>
                <w:b/>
              </w:rPr>
              <w:t xml:space="preserve">Runoff </w:t>
            </w:r>
            <w:r w:rsidR="00441D40" w:rsidRPr="0054438A">
              <w:rPr>
                <w:b/>
              </w:rPr>
              <w:t xml:space="preserve">coefficient </w:t>
            </w:r>
            <w:r w:rsidRPr="0054438A">
              <w:rPr>
                <w:b/>
              </w:rPr>
              <w:t>(C)</w:t>
            </w:r>
          </w:p>
        </w:tc>
      </w:tr>
      <w:tr w:rsidR="00E17BF3" w:rsidTr="00F2178F">
        <w:tc>
          <w:tcPr>
            <w:tcW w:w="4054" w:type="dxa"/>
          </w:tcPr>
          <w:p w:rsidR="00E17BF3" w:rsidRDefault="00E17BF3" w:rsidP="008063F0">
            <w:pPr>
              <w:pStyle w:val="tabletext"/>
              <w:framePr w:hSpace="0" w:wrap="auto" w:vAnchor="margin" w:hAnchor="text" w:xAlign="left" w:yAlign="inline"/>
              <w:suppressOverlap w:val="0"/>
            </w:pPr>
            <w:r>
              <w:t>Business – downtown</w:t>
            </w:r>
          </w:p>
        </w:tc>
        <w:tc>
          <w:tcPr>
            <w:tcW w:w="2182" w:type="dxa"/>
          </w:tcPr>
          <w:p w:rsidR="00E17BF3" w:rsidRDefault="00E17BF3" w:rsidP="008063F0">
            <w:pPr>
              <w:pStyle w:val="tabletext"/>
              <w:framePr w:hSpace="0" w:wrap="auto" w:vAnchor="margin" w:hAnchor="text" w:xAlign="left" w:yAlign="inline"/>
              <w:suppressOverlap w:val="0"/>
            </w:pPr>
            <w:r>
              <w:t>0.70</w:t>
            </w:r>
            <w:r w:rsidR="00441D40">
              <w:t>–</w:t>
            </w:r>
            <w:r>
              <w:t>0.95</w:t>
            </w:r>
          </w:p>
        </w:tc>
      </w:tr>
      <w:tr w:rsidR="00E17BF3" w:rsidTr="00F2178F">
        <w:tc>
          <w:tcPr>
            <w:tcW w:w="4054" w:type="dxa"/>
          </w:tcPr>
          <w:p w:rsidR="00E17BF3" w:rsidRDefault="00E17BF3" w:rsidP="008063F0">
            <w:pPr>
              <w:pStyle w:val="tabletext"/>
              <w:framePr w:hSpace="0" w:wrap="auto" w:vAnchor="margin" w:hAnchor="text" w:xAlign="left" w:yAlign="inline"/>
              <w:suppressOverlap w:val="0"/>
            </w:pPr>
            <w:r>
              <w:t>Business – Neighborhood</w:t>
            </w:r>
          </w:p>
        </w:tc>
        <w:tc>
          <w:tcPr>
            <w:tcW w:w="2182" w:type="dxa"/>
          </w:tcPr>
          <w:p w:rsidR="00E17BF3" w:rsidRDefault="00E17BF3" w:rsidP="008063F0">
            <w:pPr>
              <w:pStyle w:val="tabletext"/>
              <w:framePr w:hSpace="0" w:wrap="auto" w:vAnchor="margin" w:hAnchor="text" w:xAlign="left" w:yAlign="inline"/>
              <w:suppressOverlap w:val="0"/>
            </w:pPr>
            <w:r>
              <w:t>0.50</w:t>
            </w:r>
            <w:r w:rsidR="00441D40">
              <w:t>–</w:t>
            </w:r>
            <w:r>
              <w:t>0.70</w:t>
            </w:r>
          </w:p>
        </w:tc>
      </w:tr>
      <w:tr w:rsidR="00E17BF3" w:rsidTr="00F2178F">
        <w:tc>
          <w:tcPr>
            <w:tcW w:w="4054" w:type="dxa"/>
          </w:tcPr>
          <w:p w:rsidR="00E17BF3" w:rsidRDefault="00E17BF3" w:rsidP="008063F0">
            <w:pPr>
              <w:pStyle w:val="tabletext"/>
              <w:framePr w:hSpace="0" w:wrap="auto" w:vAnchor="margin" w:hAnchor="text" w:xAlign="left" w:yAlign="inline"/>
              <w:suppressOverlap w:val="0"/>
            </w:pPr>
            <w:r>
              <w:t xml:space="preserve">Residential </w:t>
            </w:r>
            <w:r w:rsidR="00441D40">
              <w:t xml:space="preserve">– </w:t>
            </w:r>
            <w:r>
              <w:t xml:space="preserve"> Single family</w:t>
            </w:r>
          </w:p>
        </w:tc>
        <w:tc>
          <w:tcPr>
            <w:tcW w:w="2182" w:type="dxa"/>
          </w:tcPr>
          <w:p w:rsidR="00E17BF3" w:rsidRDefault="00E17BF3" w:rsidP="008063F0">
            <w:pPr>
              <w:pStyle w:val="tabletext"/>
              <w:framePr w:hSpace="0" w:wrap="auto" w:vAnchor="margin" w:hAnchor="text" w:xAlign="left" w:yAlign="inline"/>
              <w:suppressOverlap w:val="0"/>
            </w:pPr>
            <w:r>
              <w:t>0.30</w:t>
            </w:r>
            <w:r w:rsidR="00441D40">
              <w:t>–</w:t>
            </w:r>
            <w:r>
              <w:t>0.50</w:t>
            </w:r>
          </w:p>
        </w:tc>
      </w:tr>
      <w:tr w:rsidR="00E17BF3" w:rsidTr="00F2178F">
        <w:tc>
          <w:tcPr>
            <w:tcW w:w="4054" w:type="dxa"/>
          </w:tcPr>
          <w:p w:rsidR="00E17BF3" w:rsidRDefault="00E17BF3" w:rsidP="008063F0">
            <w:pPr>
              <w:pStyle w:val="tabletext"/>
              <w:framePr w:hSpace="0" w:wrap="auto" w:vAnchor="margin" w:hAnchor="text" w:xAlign="left" w:yAlign="inline"/>
              <w:suppressOverlap w:val="0"/>
            </w:pPr>
            <w:r>
              <w:t>Residential – Multi units, detached</w:t>
            </w:r>
          </w:p>
        </w:tc>
        <w:tc>
          <w:tcPr>
            <w:tcW w:w="2182" w:type="dxa"/>
          </w:tcPr>
          <w:p w:rsidR="00E17BF3" w:rsidRDefault="00E17BF3" w:rsidP="008063F0">
            <w:pPr>
              <w:pStyle w:val="tabletext"/>
              <w:framePr w:hSpace="0" w:wrap="auto" w:vAnchor="margin" w:hAnchor="text" w:xAlign="left" w:yAlign="inline"/>
              <w:suppressOverlap w:val="0"/>
            </w:pPr>
            <w:r>
              <w:t>0.40</w:t>
            </w:r>
            <w:r w:rsidR="00441D40">
              <w:t>–</w:t>
            </w:r>
            <w:r>
              <w:t>0.75</w:t>
            </w:r>
          </w:p>
        </w:tc>
      </w:tr>
      <w:tr w:rsidR="00E17BF3" w:rsidTr="00F2178F">
        <w:tc>
          <w:tcPr>
            <w:tcW w:w="4054" w:type="dxa"/>
          </w:tcPr>
          <w:p w:rsidR="00E17BF3" w:rsidRDefault="00E17BF3" w:rsidP="008063F0">
            <w:pPr>
              <w:pStyle w:val="tabletext"/>
              <w:framePr w:hSpace="0" w:wrap="auto" w:vAnchor="margin" w:hAnchor="text" w:xAlign="left" w:yAlign="inline"/>
              <w:suppressOverlap w:val="0"/>
            </w:pPr>
            <w:r>
              <w:t>Residential – Multi units, attached</w:t>
            </w:r>
          </w:p>
        </w:tc>
        <w:tc>
          <w:tcPr>
            <w:tcW w:w="2182" w:type="dxa"/>
          </w:tcPr>
          <w:p w:rsidR="00E17BF3" w:rsidRDefault="00E17BF3" w:rsidP="008063F0">
            <w:pPr>
              <w:pStyle w:val="tabletext"/>
              <w:framePr w:hSpace="0" w:wrap="auto" w:vAnchor="margin" w:hAnchor="text" w:xAlign="left" w:yAlign="inline"/>
              <w:suppressOverlap w:val="0"/>
            </w:pPr>
            <w:r>
              <w:t>0.60</w:t>
            </w:r>
            <w:r w:rsidR="00441D40">
              <w:t>–</w:t>
            </w:r>
            <w:r>
              <w:t>0.75</w:t>
            </w:r>
          </w:p>
        </w:tc>
      </w:tr>
      <w:tr w:rsidR="00E17BF3" w:rsidTr="00F2178F">
        <w:tc>
          <w:tcPr>
            <w:tcW w:w="4054" w:type="dxa"/>
          </w:tcPr>
          <w:p w:rsidR="00E17BF3" w:rsidRDefault="00E17BF3" w:rsidP="008063F0">
            <w:pPr>
              <w:pStyle w:val="tabletext"/>
              <w:framePr w:hSpace="0" w:wrap="auto" w:vAnchor="margin" w:hAnchor="text" w:xAlign="left" w:yAlign="inline"/>
              <w:suppressOverlap w:val="0"/>
            </w:pPr>
            <w:r>
              <w:t xml:space="preserve">Residential </w:t>
            </w:r>
            <w:r w:rsidR="00441D40">
              <w:t xml:space="preserve">– </w:t>
            </w:r>
            <w:r>
              <w:t xml:space="preserve"> Suburban</w:t>
            </w:r>
          </w:p>
        </w:tc>
        <w:tc>
          <w:tcPr>
            <w:tcW w:w="2182" w:type="dxa"/>
          </w:tcPr>
          <w:p w:rsidR="00E17BF3" w:rsidRDefault="00E17BF3" w:rsidP="008063F0">
            <w:pPr>
              <w:pStyle w:val="tabletext"/>
              <w:framePr w:hSpace="0" w:wrap="auto" w:vAnchor="margin" w:hAnchor="text" w:xAlign="left" w:yAlign="inline"/>
              <w:suppressOverlap w:val="0"/>
            </w:pPr>
            <w:r>
              <w:t>0.25</w:t>
            </w:r>
            <w:r w:rsidR="00441D40">
              <w:t>–</w:t>
            </w:r>
            <w:r>
              <w:t>0.40</w:t>
            </w:r>
          </w:p>
        </w:tc>
      </w:tr>
      <w:tr w:rsidR="00E17BF3" w:rsidTr="00F2178F">
        <w:tc>
          <w:tcPr>
            <w:tcW w:w="4054" w:type="dxa"/>
          </w:tcPr>
          <w:p w:rsidR="00E17BF3" w:rsidRDefault="00E17BF3" w:rsidP="008063F0">
            <w:pPr>
              <w:pStyle w:val="tabletext"/>
              <w:framePr w:hSpace="0" w:wrap="auto" w:vAnchor="margin" w:hAnchor="text" w:xAlign="left" w:yAlign="inline"/>
              <w:suppressOverlap w:val="0"/>
            </w:pPr>
            <w:r>
              <w:t>Residential – Apartments</w:t>
            </w:r>
          </w:p>
        </w:tc>
        <w:tc>
          <w:tcPr>
            <w:tcW w:w="2182" w:type="dxa"/>
          </w:tcPr>
          <w:p w:rsidR="00E17BF3" w:rsidRDefault="00E17BF3" w:rsidP="008063F0">
            <w:pPr>
              <w:pStyle w:val="tabletext"/>
              <w:framePr w:hSpace="0" w:wrap="auto" w:vAnchor="margin" w:hAnchor="text" w:xAlign="left" w:yAlign="inline"/>
              <w:suppressOverlap w:val="0"/>
            </w:pPr>
            <w:r>
              <w:t>0.50</w:t>
            </w:r>
            <w:r w:rsidR="00441D40">
              <w:t>–</w:t>
            </w:r>
            <w:r>
              <w:t>0.70</w:t>
            </w:r>
          </w:p>
        </w:tc>
      </w:tr>
      <w:tr w:rsidR="00E17BF3" w:rsidTr="00F2178F">
        <w:tc>
          <w:tcPr>
            <w:tcW w:w="4054" w:type="dxa"/>
          </w:tcPr>
          <w:p w:rsidR="00E17BF3" w:rsidRDefault="00E17BF3" w:rsidP="008063F0">
            <w:pPr>
              <w:pStyle w:val="tabletext"/>
              <w:framePr w:hSpace="0" w:wrap="auto" w:vAnchor="margin" w:hAnchor="text" w:xAlign="left" w:yAlign="inline"/>
              <w:suppressOverlap w:val="0"/>
            </w:pPr>
            <w:r>
              <w:t xml:space="preserve">Industrial </w:t>
            </w:r>
            <w:r w:rsidR="00441D40">
              <w:t xml:space="preserve">– </w:t>
            </w:r>
            <w:r>
              <w:t xml:space="preserve"> Light</w:t>
            </w:r>
          </w:p>
        </w:tc>
        <w:tc>
          <w:tcPr>
            <w:tcW w:w="2182" w:type="dxa"/>
          </w:tcPr>
          <w:p w:rsidR="00E17BF3" w:rsidRDefault="00E17BF3" w:rsidP="008063F0">
            <w:pPr>
              <w:pStyle w:val="tabletext"/>
              <w:framePr w:hSpace="0" w:wrap="auto" w:vAnchor="margin" w:hAnchor="text" w:xAlign="left" w:yAlign="inline"/>
              <w:suppressOverlap w:val="0"/>
            </w:pPr>
            <w:r>
              <w:t>0.50</w:t>
            </w:r>
            <w:r w:rsidR="00441D40">
              <w:t>–</w:t>
            </w:r>
            <w:r>
              <w:t>0.80</w:t>
            </w:r>
          </w:p>
        </w:tc>
      </w:tr>
      <w:tr w:rsidR="00E17BF3" w:rsidTr="00F2178F">
        <w:tc>
          <w:tcPr>
            <w:tcW w:w="4054" w:type="dxa"/>
          </w:tcPr>
          <w:p w:rsidR="00E17BF3" w:rsidRDefault="00E17BF3" w:rsidP="008063F0">
            <w:pPr>
              <w:pStyle w:val="tabletext"/>
              <w:framePr w:hSpace="0" w:wrap="auto" w:vAnchor="margin" w:hAnchor="text" w:xAlign="left" w:yAlign="inline"/>
              <w:suppressOverlap w:val="0"/>
            </w:pPr>
            <w:r>
              <w:t xml:space="preserve">Industrial </w:t>
            </w:r>
            <w:r w:rsidR="00441D40">
              <w:t xml:space="preserve">– </w:t>
            </w:r>
            <w:r>
              <w:t xml:space="preserve"> Heavy</w:t>
            </w:r>
          </w:p>
        </w:tc>
        <w:tc>
          <w:tcPr>
            <w:tcW w:w="2182" w:type="dxa"/>
          </w:tcPr>
          <w:p w:rsidR="00E17BF3" w:rsidRDefault="00E17BF3" w:rsidP="008063F0">
            <w:pPr>
              <w:pStyle w:val="tabletext"/>
              <w:framePr w:hSpace="0" w:wrap="auto" w:vAnchor="margin" w:hAnchor="text" w:xAlign="left" w:yAlign="inline"/>
              <w:suppressOverlap w:val="0"/>
            </w:pPr>
            <w:r>
              <w:t>0.60</w:t>
            </w:r>
            <w:r w:rsidR="00441D40">
              <w:t>–</w:t>
            </w:r>
            <w:r>
              <w:t>0.90</w:t>
            </w:r>
          </w:p>
        </w:tc>
      </w:tr>
      <w:tr w:rsidR="00E17BF3" w:rsidTr="00F2178F">
        <w:tc>
          <w:tcPr>
            <w:tcW w:w="4054" w:type="dxa"/>
          </w:tcPr>
          <w:p w:rsidR="00E17BF3" w:rsidRDefault="00E17BF3" w:rsidP="008063F0">
            <w:pPr>
              <w:pStyle w:val="tabletext"/>
              <w:framePr w:hSpace="0" w:wrap="auto" w:vAnchor="margin" w:hAnchor="text" w:xAlign="left" w:yAlign="inline"/>
              <w:suppressOverlap w:val="0"/>
            </w:pPr>
            <w:r>
              <w:t>Parks, cemeteries</w:t>
            </w:r>
          </w:p>
        </w:tc>
        <w:tc>
          <w:tcPr>
            <w:tcW w:w="2182" w:type="dxa"/>
          </w:tcPr>
          <w:p w:rsidR="00E17BF3" w:rsidRDefault="00E17BF3" w:rsidP="008063F0">
            <w:pPr>
              <w:pStyle w:val="tabletext"/>
              <w:framePr w:hSpace="0" w:wrap="auto" w:vAnchor="margin" w:hAnchor="text" w:xAlign="left" w:yAlign="inline"/>
              <w:suppressOverlap w:val="0"/>
            </w:pPr>
            <w:r>
              <w:t>0.10</w:t>
            </w:r>
            <w:r w:rsidR="00441D40">
              <w:t>–</w:t>
            </w:r>
            <w:r>
              <w:t>0.25</w:t>
            </w:r>
          </w:p>
        </w:tc>
      </w:tr>
      <w:tr w:rsidR="00E17BF3" w:rsidTr="00F2178F">
        <w:tc>
          <w:tcPr>
            <w:tcW w:w="4054" w:type="dxa"/>
          </w:tcPr>
          <w:p w:rsidR="00E17BF3" w:rsidRDefault="00E17BF3" w:rsidP="008063F0">
            <w:pPr>
              <w:pStyle w:val="tabletext"/>
              <w:framePr w:hSpace="0" w:wrap="auto" w:vAnchor="margin" w:hAnchor="text" w:xAlign="left" w:yAlign="inline"/>
              <w:suppressOverlap w:val="0"/>
            </w:pPr>
            <w:r>
              <w:t>Playgrounds</w:t>
            </w:r>
          </w:p>
        </w:tc>
        <w:tc>
          <w:tcPr>
            <w:tcW w:w="2182" w:type="dxa"/>
          </w:tcPr>
          <w:p w:rsidR="00E17BF3" w:rsidRDefault="00E17BF3" w:rsidP="008063F0">
            <w:pPr>
              <w:pStyle w:val="tabletext"/>
              <w:framePr w:hSpace="0" w:wrap="auto" w:vAnchor="margin" w:hAnchor="text" w:xAlign="left" w:yAlign="inline"/>
              <w:suppressOverlap w:val="0"/>
            </w:pPr>
            <w:r>
              <w:t>0.20</w:t>
            </w:r>
            <w:r w:rsidR="00441D40">
              <w:t>–</w:t>
            </w:r>
            <w:r>
              <w:t>0.35</w:t>
            </w:r>
          </w:p>
        </w:tc>
      </w:tr>
      <w:tr w:rsidR="00E17BF3" w:rsidTr="00F2178F">
        <w:tc>
          <w:tcPr>
            <w:tcW w:w="4054" w:type="dxa"/>
          </w:tcPr>
          <w:p w:rsidR="00E17BF3" w:rsidRDefault="00E17BF3" w:rsidP="008063F0">
            <w:pPr>
              <w:pStyle w:val="tabletext"/>
              <w:framePr w:hSpace="0" w:wrap="auto" w:vAnchor="margin" w:hAnchor="text" w:xAlign="left" w:yAlign="inline"/>
              <w:suppressOverlap w:val="0"/>
            </w:pPr>
            <w:r>
              <w:t>Railroad yard</w:t>
            </w:r>
          </w:p>
        </w:tc>
        <w:tc>
          <w:tcPr>
            <w:tcW w:w="2182" w:type="dxa"/>
          </w:tcPr>
          <w:p w:rsidR="00E17BF3" w:rsidRDefault="00E17BF3" w:rsidP="008063F0">
            <w:pPr>
              <w:pStyle w:val="tabletext"/>
              <w:framePr w:hSpace="0" w:wrap="auto" w:vAnchor="margin" w:hAnchor="text" w:xAlign="left" w:yAlign="inline"/>
              <w:suppressOverlap w:val="0"/>
            </w:pPr>
            <w:r>
              <w:t>0.20</w:t>
            </w:r>
            <w:r w:rsidR="00441D40">
              <w:t>–</w:t>
            </w:r>
            <w:r>
              <w:t>0.35</w:t>
            </w:r>
          </w:p>
        </w:tc>
      </w:tr>
      <w:tr w:rsidR="00E17BF3" w:rsidTr="00F2178F">
        <w:tc>
          <w:tcPr>
            <w:tcW w:w="4054" w:type="dxa"/>
            <w:tcBorders>
              <w:bottom w:val="single" w:sz="4" w:space="0" w:color="auto"/>
            </w:tcBorders>
          </w:tcPr>
          <w:p w:rsidR="00E17BF3" w:rsidRDefault="00E17BF3" w:rsidP="008063F0">
            <w:pPr>
              <w:pStyle w:val="tabletext"/>
              <w:framePr w:hSpace="0" w:wrap="auto" w:vAnchor="margin" w:hAnchor="text" w:xAlign="left" w:yAlign="inline"/>
              <w:suppressOverlap w:val="0"/>
            </w:pPr>
            <w:r>
              <w:t>Unimproved</w:t>
            </w:r>
          </w:p>
        </w:tc>
        <w:tc>
          <w:tcPr>
            <w:tcW w:w="2182" w:type="dxa"/>
            <w:tcBorders>
              <w:bottom w:val="single" w:sz="4" w:space="0" w:color="auto"/>
            </w:tcBorders>
          </w:tcPr>
          <w:p w:rsidR="00E17BF3" w:rsidRDefault="00E17BF3" w:rsidP="008063F0">
            <w:pPr>
              <w:pStyle w:val="tabletext"/>
              <w:framePr w:hSpace="0" w:wrap="auto" w:vAnchor="margin" w:hAnchor="text" w:xAlign="left" w:yAlign="inline"/>
              <w:suppressOverlap w:val="0"/>
            </w:pPr>
            <w:r>
              <w:t>0.10</w:t>
            </w:r>
            <w:r w:rsidR="00441D40">
              <w:t>–</w:t>
            </w:r>
            <w:r>
              <w:t>0.30</w:t>
            </w:r>
          </w:p>
        </w:tc>
      </w:tr>
      <w:tr w:rsidR="00E17BF3" w:rsidTr="00F2178F">
        <w:trPr>
          <w:trHeight w:val="216"/>
        </w:trPr>
        <w:tc>
          <w:tcPr>
            <w:tcW w:w="6236" w:type="dxa"/>
            <w:gridSpan w:val="2"/>
            <w:tcBorders>
              <w:left w:val="nil"/>
              <w:bottom w:val="nil"/>
              <w:right w:val="nil"/>
            </w:tcBorders>
          </w:tcPr>
          <w:p w:rsidR="00E17BF3" w:rsidRDefault="00E17BF3" w:rsidP="008063F0">
            <w:pPr>
              <w:pStyle w:val="tabletext"/>
              <w:framePr w:hSpace="0" w:wrap="auto" w:vAnchor="margin" w:hAnchor="text" w:xAlign="left" w:yAlign="inline"/>
              <w:suppressOverlap w:val="0"/>
            </w:pPr>
            <w:r>
              <w:t>Source: ASCE 2006</w:t>
            </w:r>
          </w:p>
        </w:tc>
      </w:tr>
    </w:tbl>
    <w:p w:rsidR="00E17BF3" w:rsidRDefault="00C469AF" w:rsidP="00FA6577">
      <w:pPr>
        <w:pStyle w:val="BodyText"/>
      </w:pPr>
      <w:r w:rsidRPr="00FA6577">
        <w:rPr>
          <w:rStyle w:val="Bold"/>
        </w:rPr>
        <w:t>Line 1 – Sub-sewershed area (acres).</w:t>
      </w:r>
      <w:r>
        <w:t xml:space="preserve"> </w:t>
      </w:r>
      <w:r w:rsidR="00E17BF3">
        <w:t xml:space="preserve">Enter the area in acres for each sub-sewershed in the CSS (Line 10a on FORM </w:t>
      </w:r>
      <w:r w:rsidR="00FF476A">
        <w:t xml:space="preserve">GREEN </w:t>
      </w:r>
      <w:r w:rsidR="00E17BF3">
        <w:t>LTCP-EZ. If you are using the electronic version of the form, this value will have been filled in automatically). Add additional columns if needed.</w:t>
      </w:r>
    </w:p>
    <w:p w:rsidR="00E17BF3" w:rsidRDefault="00E17BF3" w:rsidP="00FA6577">
      <w:pPr>
        <w:pStyle w:val="BodyText"/>
      </w:pPr>
      <w:r w:rsidRPr="00FA6577">
        <w:rPr>
          <w:rStyle w:val="Bold"/>
        </w:rPr>
        <w:t>Line 2 – Principal land use.</w:t>
      </w:r>
      <w:r>
        <w:t xml:space="preserve"> Enter the principal land use for each sub-sewershed area (Line 10b on FORM </w:t>
      </w:r>
      <w:r w:rsidR="00FF476A">
        <w:t xml:space="preserve">GREEN </w:t>
      </w:r>
      <w:r>
        <w:t>LTCP-EZ. If you are using the electronic version of the form, this value will have been filled in automatically).</w:t>
      </w:r>
    </w:p>
    <w:p w:rsidR="00E17BF3" w:rsidRDefault="00E17BF3" w:rsidP="00FA6577">
      <w:pPr>
        <w:pStyle w:val="BodyText"/>
      </w:pPr>
      <w:r w:rsidRPr="00FA6577">
        <w:rPr>
          <w:rStyle w:val="Bold"/>
        </w:rPr>
        <w:t xml:space="preserve">Line 3 – Sub-sewershed runoff coefficient. </w:t>
      </w:r>
      <w:r>
        <w:t>Enter the runoff coefficient that is most appropriate for the sub-sewershed on Line 3. Runoff coefficients represent land use, soil type, design storm, and</w:t>
      </w:r>
      <w:r w:rsidR="00F2178F">
        <w:t xml:space="preserve"> </w:t>
      </w:r>
      <w:r>
        <w:t xml:space="preserve">slope conditions. The range of runoff coefficients associated with different types of land use </w:t>
      </w:r>
      <w:r>
        <w:t>is presented in Table 1. Use the lower end of the range for flat slopes or permeable, sandy soils. Use the higher end of the range for steep slopes or impermeable soils such as clay or firmly packed soils. The higher end of the range can also be used to add an additional factor of safety into the calculation.</w:t>
      </w:r>
    </w:p>
    <w:p w:rsidR="00E17BF3" w:rsidRDefault="00E17BF3" w:rsidP="00FA6577">
      <w:pPr>
        <w:pStyle w:val="BodyText"/>
      </w:pPr>
      <w:r>
        <w:t>The runoff coefficient selected should be representative of the entire sub-sewershed. Permittees should consider the distribution of land use in the sub-sewershed and develop a weighted runoff coefficient if necessary. For example, a sub-sewershed that is half residential single family (C</w:t>
      </w:r>
      <w:r w:rsidR="00441D40">
        <w:t xml:space="preserve"> </w:t>
      </w:r>
      <w:r>
        <w:t>=</w:t>
      </w:r>
      <w:r w:rsidR="00441D40">
        <w:t xml:space="preserve"> </w:t>
      </w:r>
      <w:r>
        <w:t>0.40) and half light industrial (C</w:t>
      </w:r>
      <w:r w:rsidR="00441D40">
        <w:t xml:space="preserve"> </w:t>
      </w:r>
      <w:r>
        <w:t>=</w:t>
      </w:r>
      <w:r w:rsidR="00441D40">
        <w:t xml:space="preserve"> </w:t>
      </w:r>
      <w:r>
        <w:t>0.65) would have a composite runoff coefficient of C</w:t>
      </w:r>
      <w:r w:rsidR="00441D40">
        <w:t xml:space="preserve"> </w:t>
      </w:r>
      <w:r>
        <w:t>=</w:t>
      </w:r>
      <w:r w:rsidR="00441D40">
        <w:t xml:space="preserve"> </w:t>
      </w:r>
      <w:r>
        <w:t>0.525 [(0.40</w:t>
      </w:r>
      <w:r w:rsidR="00441D40">
        <w:t xml:space="preserve"> </w:t>
      </w:r>
      <w:r>
        <w:t>+</w:t>
      </w:r>
      <w:r w:rsidR="00441D40">
        <w:t xml:space="preserve"> </w:t>
      </w:r>
      <w:r>
        <w:t>0.65)</w:t>
      </w:r>
      <w:r w:rsidR="00441D40">
        <w:t xml:space="preserve"> </w:t>
      </w:r>
      <w:r>
        <w:t>/</w:t>
      </w:r>
      <w:r w:rsidR="00441D40">
        <w:t xml:space="preserve"> </w:t>
      </w:r>
      <w:r>
        <w:t>2].</w:t>
      </w:r>
    </w:p>
    <w:p w:rsidR="00E17BF3" w:rsidRDefault="00E17BF3" w:rsidP="00FA6577">
      <w:pPr>
        <w:pStyle w:val="BodyText"/>
      </w:pPr>
      <w:r>
        <w:t xml:space="preserve">At a minimum, the runoff coefficient should be equivalent to the percent imperviousness for the sub-sewershed as a decimal fraction. The percent imperviousness is the fraction of each sub-sewershed area that is covered by impervious surfaces (such as pavement, rooftops, and sidewalks) that is </w:t>
      </w:r>
      <w:r>
        <w:t>directly connected to the CSS through catch basins, area drains or roof leaders.</w:t>
      </w:r>
    </w:p>
    <w:p w:rsidR="00E17BF3" w:rsidRDefault="00E17BF3" w:rsidP="003859D2">
      <w:pPr>
        <w:pStyle w:val="Heading2"/>
      </w:pPr>
      <w:bookmarkStart w:id="87" w:name="_Toc127078241"/>
      <w:bookmarkStart w:id="88" w:name="_Toc243725244"/>
      <w:bookmarkStart w:id="89" w:name="_Toc243809425"/>
      <w:bookmarkStart w:id="90" w:name="_Toc285015586"/>
      <w:r>
        <w:t>Runoff</w:t>
      </w:r>
      <w:bookmarkEnd w:id="87"/>
      <w:bookmarkEnd w:id="88"/>
      <w:bookmarkEnd w:id="89"/>
      <w:bookmarkEnd w:id="90"/>
    </w:p>
    <w:p w:rsidR="00E17BF3" w:rsidRDefault="00E17BF3" w:rsidP="00FA6577">
      <w:pPr>
        <w:pStyle w:val="BodyText"/>
      </w:pPr>
      <w:r w:rsidRPr="00FA6577">
        <w:rPr>
          <w:rStyle w:val="Bold"/>
        </w:rPr>
        <w:t xml:space="preserve">Line 4 Design storm rainfall. </w:t>
      </w:r>
      <w:r>
        <w:rPr>
          <w:bCs/>
        </w:rPr>
        <w:t xml:space="preserve">The </w:t>
      </w:r>
      <w:r>
        <w:t xml:space="preserve">one-hour, </w:t>
      </w:r>
      <w:r w:rsidR="003E0BA4">
        <w:t>3</w:t>
      </w:r>
      <w:r>
        <w:t xml:space="preserve">-month rainfall intensity (inches per hour) is the design storm used in the </w:t>
      </w:r>
      <w:r w:rsidR="00FF476A">
        <w:t xml:space="preserve">Green </w:t>
      </w:r>
      <w:r>
        <w:t xml:space="preserve">LTCP-EZ Template to estimate peak runoff rate. The 24-hour, </w:t>
      </w:r>
      <w:r w:rsidR="003E0BA4">
        <w:t>3</w:t>
      </w:r>
      <w:r>
        <w:t>-month rainfall is used to estimate total volume of runoff generated over a 24-hour period.</w:t>
      </w:r>
    </w:p>
    <w:p w:rsidR="00E17BF3" w:rsidRDefault="00E17BF3" w:rsidP="00FA6577">
      <w:pPr>
        <w:pStyle w:val="BodyText"/>
        <w:sectPr w:rsidR="00E17BF3" w:rsidSect="00A20390">
          <w:headerReference w:type="even" r:id="rId50"/>
          <w:footerReference w:type="default" r:id="rId51"/>
          <w:endnotePr>
            <w:numFmt w:val="decimal"/>
            <w:numRestart w:val="eachSect"/>
          </w:endnotePr>
          <w:pgSz w:w="12240" w:h="15840" w:code="1"/>
          <w:pgMar w:top="1440" w:right="1440" w:bottom="1440" w:left="1440" w:header="720" w:footer="720" w:gutter="0"/>
          <w:cols w:num="3" w:space="360"/>
          <w:docGrid w:linePitch="360"/>
        </w:sectPr>
      </w:pPr>
      <w:r>
        <w:t xml:space="preserve">Recommended one-hour, </w:t>
      </w:r>
      <w:r w:rsidR="003E0BA4">
        <w:t>3</w:t>
      </w:r>
      <w:r>
        <w:t xml:space="preserve">-month rainfall values by state and county are provided in Appendix A. These values are based on research and products provided by the </w:t>
      </w:r>
      <w:r w:rsidR="00507715">
        <w:t xml:space="preserve">Illinois State Water Survey and </w:t>
      </w:r>
      <w:smartTag w:uri="urn:schemas-microsoft-com:office:smarttags" w:element="place">
        <w:smartTag w:uri="urn:schemas-microsoft-com:office:smarttags" w:element="PlaceName">
          <w:r>
            <w:t>Midwest</w:t>
          </w:r>
        </w:smartTag>
        <w:r>
          <w:t xml:space="preserve"> </w:t>
        </w:r>
        <w:smartTag w:uri="urn:schemas-microsoft-com:office:smarttags" w:element="PlaceName">
          <w:r>
            <w:t>Climate</w:t>
          </w:r>
        </w:smartTag>
        <w:r>
          <w:t xml:space="preserve"> </w:t>
        </w:r>
        <w:smartTag w:uri="urn:schemas-microsoft-com:office:smarttags" w:element="PlaceType">
          <w:r>
            <w:t>Center</w:t>
          </w:r>
        </w:smartTag>
      </w:smartTag>
      <w:r>
        <w:t xml:space="preserve"> (1992). Values for the </w:t>
      </w:r>
      <w:r w:rsidR="0004681B">
        <w:t>m</w:t>
      </w:r>
      <w:r>
        <w:t xml:space="preserve">idwestern states are very specific. Values for other states in the Northeast have been approximated </w:t>
      </w:r>
      <w:r w:rsidR="0004681B">
        <w:t xml:space="preserve">on the basis of </w:t>
      </w:r>
      <w:r>
        <w:t xml:space="preserve">procedures developed by the </w:t>
      </w:r>
      <w:smartTag w:uri="urn:schemas-microsoft-com:office:smarttags" w:element="place">
        <w:smartTag w:uri="urn:schemas-microsoft-com:office:smarttags" w:element="PlaceName">
          <w:r>
            <w:t>Midwest</w:t>
          </w:r>
        </w:smartTag>
        <w:r>
          <w:t xml:space="preserve"> </w:t>
        </w:r>
        <w:smartTag w:uri="urn:schemas-microsoft-com:office:smarttags" w:element="PlaceName">
          <w:r>
            <w:t>Climate</w:t>
          </w:r>
        </w:smartTag>
        <w:r>
          <w:t xml:space="preserve"> </w:t>
        </w:r>
        <w:smartTag w:uri="urn:schemas-microsoft-com:office:smarttags" w:element="PlaceType">
          <w:r>
            <w:t>Center</w:t>
          </w:r>
        </w:smartTag>
      </w:smartTag>
      <w:r>
        <w:t xml:space="preserve">. A statistically derived multiplication factor of 2.1 is used to convert these one-hour, </w:t>
      </w:r>
      <w:r w:rsidR="0004681B">
        <w:t>3</w:t>
      </w:r>
      <w:r>
        <w:t xml:space="preserve">–month design rainfall conditions into the 24-hour, </w:t>
      </w:r>
      <w:r w:rsidR="003E0BA4">
        <w:t>3</w:t>
      </w:r>
      <w:r>
        <w:t>–month rainfall conditions.</w:t>
      </w:r>
    </w:p>
    <w:p w:rsidR="0062037C" w:rsidRDefault="00E17BF3" w:rsidP="00FA6577">
      <w:pPr>
        <w:pStyle w:val="BodyText"/>
      </w:pPr>
      <w:r>
        <w:t xml:space="preserve">Site-specific rainfall values or other design storm intensities </w:t>
      </w:r>
      <w:r w:rsidR="0004681B">
        <w:lastRenderedPageBreak/>
        <w:t>can</w:t>
      </w:r>
      <w:r>
        <w:t xml:space="preserve"> be used to assess the response of the</w:t>
      </w:r>
    </w:p>
    <w:p w:rsidR="00E17BF3" w:rsidRDefault="00E17BF3" w:rsidP="00FA6577">
      <w:pPr>
        <w:pStyle w:val="BodyText"/>
      </w:pPr>
      <w:r>
        <w:t xml:space="preserve">CSS to rainfall. However, use of different rainfall periods </w:t>
      </w:r>
      <w:r w:rsidR="0004681B">
        <w:t xml:space="preserve">could </w:t>
      </w:r>
      <w:r>
        <w:t>require a separate analysis outside of Schedule 4-CSO VOLUME.</w:t>
      </w:r>
    </w:p>
    <w:p w:rsidR="00E17BF3" w:rsidRDefault="00E17BF3" w:rsidP="00FA6577">
      <w:pPr>
        <w:pStyle w:val="BodyText"/>
      </w:pPr>
      <w:r>
        <w:t>Enter the one-hour design storm rainfall intensity in inches for each sub-sewershed on Line 4. (Note: this information is also used in Schedule</w:t>
      </w:r>
      <w:r w:rsidR="0077784E">
        <w:t>s</w:t>
      </w:r>
      <w:r>
        <w:t xml:space="preserve"> 5</w:t>
      </w:r>
      <w:r w:rsidR="00E32832">
        <w:t>A</w:t>
      </w:r>
      <w:r w:rsidR="0077784E">
        <w:t xml:space="preserve"> and 5</w:t>
      </w:r>
      <w:r w:rsidR="00E32832">
        <w:t>B</w:t>
      </w:r>
      <w:r>
        <w:t>-CSO CONTROL).</w:t>
      </w:r>
    </w:p>
    <w:p w:rsidR="0062037C" w:rsidRPr="00FA6577" w:rsidRDefault="00E17BF3" w:rsidP="00FA6577">
      <w:pPr>
        <w:pStyle w:val="BodyText"/>
        <w:rPr>
          <w:rStyle w:val="Bold"/>
        </w:rPr>
      </w:pPr>
      <w:r w:rsidRPr="00FA6577">
        <w:rPr>
          <w:rStyle w:val="Bold"/>
        </w:rPr>
        <w:t>Line 5 – Calculated runoff rate.</w:t>
      </w:r>
      <w:r>
        <w:t xml:space="preserve"> Multiply Line 1 by Line 3 and then </w:t>
      </w:r>
      <w:r w:rsidR="0004681B">
        <w:t xml:space="preserve">multiply </w:t>
      </w:r>
      <w:r>
        <w:t>this product by Line 4 for each sub-sewershed area and enter the result (acre-inches per hour) on Line 5</w:t>
      </w:r>
      <w:r w:rsidR="0062037C" w:rsidRPr="00FA6577">
        <w:rPr>
          <w:rStyle w:val="Bold"/>
        </w:rPr>
        <w:t>.</w:t>
      </w:r>
    </w:p>
    <w:p w:rsidR="00E17BF3" w:rsidRDefault="00E17BF3" w:rsidP="00FA6577">
      <w:pPr>
        <w:pStyle w:val="BodyText"/>
      </w:pPr>
      <w:bookmarkStart w:id="91" w:name="_Toc127078242"/>
      <w:r w:rsidRPr="00FA6577">
        <w:rPr>
          <w:rStyle w:val="Bold"/>
        </w:rPr>
        <w:t>Line 6 – Peak runoff rate in MGD.</w:t>
      </w:r>
      <w:r>
        <w:t xml:space="preserve"> Multiply Line 5 by the conversion factor (k) of 0.6517 and enter the result for each sub-sewershed area on Line 6. This is the one-hour design storm runoff in MGD.</w:t>
      </w:r>
      <w:bookmarkStart w:id="92" w:name="_Toc127078243"/>
      <w:bookmarkEnd w:id="91"/>
    </w:p>
    <w:p w:rsidR="0062037C" w:rsidRDefault="00E17BF3" w:rsidP="003859D2">
      <w:pPr>
        <w:pStyle w:val="Heading2"/>
      </w:pPr>
      <w:bookmarkStart w:id="93" w:name="_Toc127078245"/>
      <w:bookmarkStart w:id="94" w:name="_Toc243725245"/>
      <w:bookmarkStart w:id="95" w:name="_Toc243809426"/>
      <w:bookmarkStart w:id="96" w:name="_Toc285015587"/>
      <w:bookmarkEnd w:id="92"/>
      <w:r>
        <w:t>Dry</w:t>
      </w:r>
      <w:r w:rsidR="0004681B">
        <w:t>-</w:t>
      </w:r>
      <w:r>
        <w:t xml:space="preserve">Weather Flow </w:t>
      </w:r>
      <w:bookmarkEnd w:id="93"/>
      <w:r w:rsidR="0004681B">
        <w:t>w</w:t>
      </w:r>
      <w:r>
        <w:t>ithin the CSS</w:t>
      </w:r>
      <w:bookmarkEnd w:id="94"/>
      <w:bookmarkEnd w:id="95"/>
      <w:bookmarkEnd w:id="96"/>
    </w:p>
    <w:p w:rsidR="00E17BF3" w:rsidRDefault="00E17BF3" w:rsidP="00FA6577">
      <w:pPr>
        <w:pStyle w:val="BodyText"/>
        <w:rPr>
          <w:szCs w:val="20"/>
        </w:rPr>
      </w:pPr>
      <w:r w:rsidRPr="00FA6577">
        <w:rPr>
          <w:rStyle w:val="Bold"/>
        </w:rPr>
        <w:t>Line 7 – Dry</w:t>
      </w:r>
      <w:r w:rsidR="0004681B" w:rsidRPr="00FA6577">
        <w:rPr>
          <w:rStyle w:val="Bold"/>
        </w:rPr>
        <w:t>-</w:t>
      </w:r>
      <w:r w:rsidRPr="00FA6577">
        <w:rPr>
          <w:rStyle w:val="Bold"/>
        </w:rPr>
        <w:t xml:space="preserve">weather flow rate (MGD). </w:t>
      </w:r>
      <w:r>
        <w:t>Enter the average dry</w:t>
      </w:r>
      <w:r w:rsidR="0004681B">
        <w:t>-</w:t>
      </w:r>
      <w:r>
        <w:t>weather flow rate as a rate in MGD for each sub-sewershed on Line 7. If dry</w:t>
      </w:r>
      <w:r w:rsidR="0004681B">
        <w:t>-</w:t>
      </w:r>
      <w:r>
        <w:t xml:space="preserve">weather flow is unknown on a sub-sewershed basis, develop an estimate supported by </w:t>
      </w:r>
      <w:r w:rsidR="0004681B">
        <w:t>(</w:t>
      </w:r>
      <w:r>
        <w:t>1) direct measurement of dry</w:t>
      </w:r>
      <w:r w:rsidR="00B65F21">
        <w:t>-</w:t>
      </w:r>
      <w:r>
        <w:t xml:space="preserve">weather flow based on the average of a series of observations made at different times of the day; or </w:t>
      </w:r>
      <w:r w:rsidR="0004681B">
        <w:t>(</w:t>
      </w:r>
      <w:r>
        <w:t>2) allocatin</w:t>
      </w:r>
      <w:r w:rsidR="00B65F21">
        <w:t>g</w:t>
      </w:r>
      <w:r>
        <w:t xml:space="preserve"> the dry</w:t>
      </w:r>
      <w:r w:rsidR="00B65F21">
        <w:t>-</w:t>
      </w:r>
      <w:r>
        <w:t>weather flow reported on the DMR for the WWTP for the entire sewer service area. Us</w:t>
      </w:r>
      <w:r w:rsidR="0004681B">
        <w:t>ing</w:t>
      </w:r>
      <w:r>
        <w:t xml:space="preserve"> the allocation estimation approach should take into consideration characteristics of each sub-sewershed that influence the rate of dry</w:t>
      </w:r>
      <w:r w:rsidR="00B65F21">
        <w:t>-</w:t>
      </w:r>
      <w:r>
        <w:t>weather flow including population, employment, and infiltration if known</w:t>
      </w:r>
      <w:r>
        <w:rPr>
          <w:bCs/>
        </w:rPr>
        <w:t>. The sum of dry</w:t>
      </w:r>
      <w:r w:rsidR="00B65F21">
        <w:rPr>
          <w:bCs/>
        </w:rPr>
        <w:t>-</w:t>
      </w:r>
      <w:r>
        <w:rPr>
          <w:bCs/>
        </w:rPr>
        <w:t xml:space="preserve">weather </w:t>
      </w:r>
      <w:r>
        <w:rPr>
          <w:bCs/>
        </w:rPr>
        <w:t>flow from the CSS plus the dry</w:t>
      </w:r>
      <w:r w:rsidR="00B65F21">
        <w:rPr>
          <w:bCs/>
        </w:rPr>
        <w:t>-</w:t>
      </w:r>
      <w:r>
        <w:rPr>
          <w:bCs/>
        </w:rPr>
        <w:t>weather flow from non-CSO areas and satellite communities, if present, should equal the dry</w:t>
      </w:r>
      <w:r w:rsidR="00B65F21">
        <w:rPr>
          <w:bCs/>
        </w:rPr>
        <w:t>-</w:t>
      </w:r>
      <w:r>
        <w:rPr>
          <w:bCs/>
        </w:rPr>
        <w:t>weather flow at the WWTP.</w:t>
      </w:r>
    </w:p>
    <w:p w:rsidR="0062037C" w:rsidRDefault="00E17BF3" w:rsidP="003859D2">
      <w:pPr>
        <w:pStyle w:val="Heading2"/>
      </w:pPr>
      <w:bookmarkStart w:id="97" w:name="_Toc127078247"/>
      <w:bookmarkStart w:id="98" w:name="_Toc243725246"/>
      <w:bookmarkStart w:id="99" w:name="_Toc243809427"/>
      <w:bookmarkStart w:id="100" w:name="_Toc285015588"/>
      <w:r>
        <w:t>Peak Wet</w:t>
      </w:r>
      <w:r w:rsidR="00B65F21">
        <w:t>-</w:t>
      </w:r>
      <w:r>
        <w:t>Weather Flow</w:t>
      </w:r>
      <w:bookmarkEnd w:id="97"/>
      <w:bookmarkEnd w:id="98"/>
      <w:bookmarkEnd w:id="99"/>
      <w:bookmarkEnd w:id="100"/>
    </w:p>
    <w:p w:rsidR="00E17BF3" w:rsidRDefault="00E17BF3" w:rsidP="00FA6577">
      <w:pPr>
        <w:pStyle w:val="BodyText"/>
      </w:pPr>
      <w:r w:rsidRPr="00FA6577">
        <w:rPr>
          <w:rStyle w:val="Bold"/>
        </w:rPr>
        <w:t xml:space="preserve">Line 8 – Peak flow rate (MGD). </w:t>
      </w:r>
      <w:r>
        <w:t>The peak flow rate is the sum of the peak runoff rate and dry</w:t>
      </w:r>
      <w:r w:rsidR="00B65F21">
        <w:t>-</w:t>
      </w:r>
      <w:r>
        <w:t>weather flow in MGD. Add Lines 6 and 7 and enter the sum for each sub-sewershed area on Line 8.</w:t>
      </w:r>
    </w:p>
    <w:p w:rsidR="00E17BF3" w:rsidRDefault="00E17BF3" w:rsidP="003859D2">
      <w:pPr>
        <w:pStyle w:val="Heading2"/>
      </w:pPr>
      <w:bookmarkStart w:id="101" w:name="_Toc127078248"/>
      <w:bookmarkStart w:id="102" w:name="_Toc243725247"/>
      <w:bookmarkStart w:id="103" w:name="_Toc243809428"/>
      <w:bookmarkStart w:id="104" w:name="_Toc285015589"/>
      <w:r>
        <w:t>Overflow</w:t>
      </w:r>
      <w:bookmarkEnd w:id="101"/>
      <w:bookmarkEnd w:id="102"/>
      <w:bookmarkEnd w:id="103"/>
      <w:bookmarkEnd w:id="104"/>
    </w:p>
    <w:p w:rsidR="0062037C" w:rsidRDefault="00E17BF3" w:rsidP="00FA6577">
      <w:pPr>
        <w:pStyle w:val="BodyText"/>
        <w:rPr>
          <w:bCs/>
        </w:rPr>
      </w:pPr>
      <w:r w:rsidRPr="00FA6577">
        <w:rPr>
          <w:rStyle w:val="Bold"/>
        </w:rPr>
        <w:t xml:space="preserve">Line 9 – CSO hydraulic control capacity (MGD). </w:t>
      </w:r>
      <w:r>
        <w:t xml:space="preserve">CSO hydraulic control capacity </w:t>
      </w:r>
      <w:r>
        <w:rPr>
          <w:bCs/>
        </w:rPr>
        <w:t xml:space="preserve">is the maximum flow that the sub-sewershed area sewer can deliver to the interceptor sewer. Enter the CSO hydraulic control capacity in MGD for each CSO sub-sewershed area on Line 9 </w:t>
      </w:r>
      <w:r>
        <w:t xml:space="preserve">(Line 11b on FORM </w:t>
      </w:r>
      <w:r w:rsidR="00FF476A">
        <w:t xml:space="preserve">GREEN </w:t>
      </w:r>
      <w:r>
        <w:t>LTCP-EZ. If you are using the electronic version of the form, this value will have been filled in automatically)</w:t>
      </w:r>
      <w:r w:rsidR="0062037C">
        <w:rPr>
          <w:bCs/>
        </w:rPr>
        <w:t>.</w:t>
      </w:r>
    </w:p>
    <w:p w:rsidR="0062037C" w:rsidRDefault="00E17BF3" w:rsidP="00FA6577">
      <w:pPr>
        <w:pStyle w:val="BodyText"/>
        <w:rPr>
          <w:bCs/>
        </w:rPr>
      </w:pPr>
      <w:r w:rsidRPr="00FA6577">
        <w:rPr>
          <w:rStyle w:val="Bold"/>
        </w:rPr>
        <w:t xml:space="preserve">Line 10 – Ratio of CSO hydraulic control capacity to peak flow rate. </w:t>
      </w:r>
      <w:r>
        <w:rPr>
          <w:bCs/>
        </w:rPr>
        <w:t>Enter 1.0 on Line 10 if Line 9 is greater than Line 8. Otherwise, divide Line 9 by Line 8 and enter the quotient (result) on Line 10</w:t>
      </w:r>
      <w:r w:rsidR="0062037C">
        <w:rPr>
          <w:bCs/>
        </w:rPr>
        <w:t>.</w:t>
      </w:r>
    </w:p>
    <w:p w:rsidR="0062037C" w:rsidRDefault="00E17BF3" w:rsidP="00FA6577">
      <w:pPr>
        <w:pStyle w:val="BodyText"/>
      </w:pPr>
      <w:r w:rsidRPr="00FA6577">
        <w:rPr>
          <w:rStyle w:val="Bold"/>
        </w:rPr>
        <w:t xml:space="preserve">Line 11 – Overflow fraction of combined sewage. </w:t>
      </w:r>
      <w:r>
        <w:t>This is the overflow fraction of combined sewage within the sub-sewershed. It is based on the ratio of CSO hydraulic control capacity to peak flow rate. Take the square of (1 minus the value on Line 10) and enter it on Line 11. For example, if the ratio of CSO hydraulic control capacity to peak flow rate on Line 10 is 0.15, the overflow fraction is (1</w:t>
      </w:r>
      <w:r w:rsidR="001E3E5B">
        <w:t> </w:t>
      </w:r>
      <w:r w:rsidR="007C1E0F">
        <w:t>–</w:t>
      </w:r>
      <w:r w:rsidR="00B65F21">
        <w:t xml:space="preserve"> </w:t>
      </w:r>
      <w:r>
        <w:t>0.15)</w:t>
      </w:r>
      <w:r>
        <w:rPr>
          <w:vertAlign w:val="superscript"/>
        </w:rPr>
        <w:t>2</w:t>
      </w:r>
      <w:r>
        <w:t>, or 0.7225</w:t>
      </w:r>
      <w:r w:rsidR="0062037C">
        <w:t>.</w:t>
      </w:r>
    </w:p>
    <w:p w:rsidR="0062037C" w:rsidRDefault="00E17BF3" w:rsidP="00FA6577">
      <w:pPr>
        <w:pStyle w:val="BodyText"/>
      </w:pPr>
      <w:r w:rsidRPr="00FA6577">
        <w:rPr>
          <w:rStyle w:val="Bold"/>
        </w:rPr>
        <w:t>Line 12 – 24-hour rainfall.</w:t>
      </w:r>
      <w:r>
        <w:t xml:space="preserve"> Multiply Line 4 by 2.1 to obtain </w:t>
      </w:r>
      <w:r>
        <w:t>the 24-hour design rainfall and enter the product on Line 12</w:t>
      </w:r>
      <w:r w:rsidR="0062037C">
        <w:t>.</w:t>
      </w:r>
    </w:p>
    <w:p w:rsidR="0062037C" w:rsidRDefault="00E17BF3" w:rsidP="00FA6577">
      <w:pPr>
        <w:pStyle w:val="BodyText"/>
      </w:pPr>
      <w:r w:rsidRPr="00FA6577">
        <w:rPr>
          <w:rStyle w:val="Bold"/>
        </w:rPr>
        <w:t>Line 13 – Volume of runoff (MG).</w:t>
      </w:r>
      <w:r>
        <w:t xml:space="preserve"> The volume of runoff for the 24-hour rainfall is obtained by multiplying Line 1 by Line 3 and Line 12 and converting to MG by applying the conversion factor </w:t>
      </w:r>
      <w:r w:rsidR="00366EAD">
        <w:t>0.02715</w:t>
      </w:r>
      <w:r>
        <w:t>. Enter the product on Line 13</w:t>
      </w:r>
      <w:r w:rsidR="0062037C">
        <w:t>.</w:t>
      </w:r>
    </w:p>
    <w:p w:rsidR="0062037C" w:rsidRDefault="00E17BF3" w:rsidP="00FA6577">
      <w:pPr>
        <w:pStyle w:val="BodyText"/>
      </w:pPr>
      <w:r w:rsidRPr="00FA6577">
        <w:rPr>
          <w:rStyle w:val="Bold"/>
        </w:rPr>
        <w:t>Line 14 – Volume of dry</w:t>
      </w:r>
      <w:r w:rsidR="00B65F21" w:rsidRPr="00FA6577">
        <w:rPr>
          <w:rStyle w:val="Bold"/>
        </w:rPr>
        <w:t>-</w:t>
      </w:r>
      <w:r w:rsidRPr="00FA6577">
        <w:rPr>
          <w:rStyle w:val="Bold"/>
        </w:rPr>
        <w:t>weather flow (MG)</w:t>
      </w:r>
      <w:r>
        <w:t>. This is the total dry</w:t>
      </w:r>
      <w:r w:rsidR="00B65F21">
        <w:t>-</w:t>
      </w:r>
      <w:r>
        <w:t>weather flow in MG for the 24-hour design rainfall period. It is calculated by multiplying the dry</w:t>
      </w:r>
      <w:r w:rsidR="00B65F21">
        <w:t>-</w:t>
      </w:r>
      <w:r>
        <w:t>weather flow rate in MGD on line 7 by 24 hours</w:t>
      </w:r>
      <w:r w:rsidR="0043213D">
        <w:t xml:space="preserve">. </w:t>
      </w:r>
      <w:r>
        <w:t>Enter this value on Line 14</w:t>
      </w:r>
      <w:r w:rsidR="0062037C">
        <w:t>.</w:t>
      </w:r>
    </w:p>
    <w:p w:rsidR="00E17BF3" w:rsidRDefault="00E17BF3" w:rsidP="00FA6577">
      <w:pPr>
        <w:pStyle w:val="BodyText"/>
      </w:pPr>
      <w:r w:rsidRPr="00FA6577">
        <w:rPr>
          <w:rStyle w:val="Bold"/>
        </w:rPr>
        <w:t>Line 15 – Total volume of flow (MG).</w:t>
      </w:r>
      <w:r>
        <w:t xml:space="preserve"> This is the total volume of flow in MG within each sub-sewershed for the 24-hour design rainfall period. Add Lines 13 and 14 and enter the sum on Line 15.</w:t>
      </w:r>
    </w:p>
    <w:p w:rsidR="0062037C" w:rsidRDefault="00E17BF3" w:rsidP="00FA6577">
      <w:pPr>
        <w:pStyle w:val="BodyText"/>
      </w:pPr>
      <w:r w:rsidRPr="00FA6577">
        <w:rPr>
          <w:rStyle w:val="Bold"/>
        </w:rPr>
        <w:t>Line 16 – Volume of excess combined sewage at individual CSO hydraulic controls during 24-hour rainfall period.</w:t>
      </w:r>
      <w:r>
        <w:t xml:space="preserve"> This is also the CSO volume at the CSO hydraulic control and is the combined sewage that exceeds the diversion capacity determined by the CSO hydraulic control in each sub-sewershed. Multiply Line 11 by Line 15 and enter the product on Line 16</w:t>
      </w:r>
      <w:r w:rsidR="0062037C">
        <w:t>.</w:t>
      </w:r>
    </w:p>
    <w:p w:rsidR="001E3E5B" w:rsidRDefault="001E3E5B" w:rsidP="00FA6577">
      <w:pPr>
        <w:pStyle w:val="BodyText"/>
      </w:pPr>
    </w:p>
    <w:p w:rsidR="00E17BF3" w:rsidRDefault="00E17BF3" w:rsidP="003859D2">
      <w:pPr>
        <w:pStyle w:val="Heading2"/>
      </w:pPr>
      <w:bookmarkStart w:id="105" w:name="_Toc127078249"/>
      <w:bookmarkStart w:id="106" w:name="_Toc243725248"/>
      <w:bookmarkStart w:id="107" w:name="_Toc243809429"/>
      <w:bookmarkStart w:id="108" w:name="_Toc285015590"/>
      <w:r>
        <w:t>Diversion</w:t>
      </w:r>
      <w:bookmarkEnd w:id="105"/>
      <w:bookmarkEnd w:id="106"/>
      <w:bookmarkEnd w:id="107"/>
      <w:bookmarkEnd w:id="108"/>
    </w:p>
    <w:p w:rsidR="00E17BF3" w:rsidRDefault="00E17BF3" w:rsidP="00FA6577">
      <w:pPr>
        <w:pStyle w:val="BodyText"/>
      </w:pPr>
      <w:r w:rsidRPr="00FA6577">
        <w:rPr>
          <w:rStyle w:val="Bold"/>
        </w:rPr>
        <w:t xml:space="preserve">Line 17 – Diversion fraction of combined sewage. </w:t>
      </w:r>
      <w:r>
        <w:t xml:space="preserve">This is the fraction of runoff within each subsewershed that is collected and diverted to the WWTP over the 24-hour design storm period. The diversion fraction is based on the ratio of CSO hydraulic control capacity to peak flow rate and conveyance. </w:t>
      </w:r>
      <w:r>
        <w:lastRenderedPageBreak/>
        <w:t>Determine the diversion fraction of combined sewage from Line 10 using Table 2, and enter on Line 17.</w:t>
      </w:r>
    </w:p>
    <w:p w:rsidR="0062037C" w:rsidRDefault="00E17BF3" w:rsidP="00FA6577">
      <w:pPr>
        <w:pStyle w:val="BodyText"/>
      </w:pPr>
      <w:r w:rsidRPr="00FA6577">
        <w:rPr>
          <w:rStyle w:val="Bold"/>
        </w:rPr>
        <w:t xml:space="preserve">Line 18 – Volume of runoff diverted to WWTP. </w:t>
      </w:r>
      <w:r>
        <w:t>This is the volume of runoff within each sub-sewershed that is collected and diverted to the WWTP over the 24-hour design storm period. Multiply Line 13 by Line 17 and enter the product on Line 18</w:t>
      </w:r>
      <w:r w:rsidR="0062037C">
        <w:t>.</w:t>
      </w:r>
    </w:p>
    <w:p w:rsidR="0062037C" w:rsidRDefault="00E17BF3" w:rsidP="00FA6577">
      <w:pPr>
        <w:pStyle w:val="BodyText"/>
        <w:rPr>
          <w:bCs/>
          <w:szCs w:val="20"/>
        </w:rPr>
      </w:pPr>
      <w:r w:rsidRPr="00FA6577">
        <w:rPr>
          <w:rStyle w:val="Bold"/>
        </w:rPr>
        <w:t>Line 19 – Total volume of combined sewage conveyed to WWTP during 24-hour rainfall period (MG)</w:t>
      </w:r>
      <w:r w:rsidR="0043213D" w:rsidRPr="00FA6577">
        <w:rPr>
          <w:rStyle w:val="Bold"/>
        </w:rPr>
        <w:t xml:space="preserve">. </w:t>
      </w:r>
      <w:r>
        <w:rPr>
          <w:bCs/>
          <w:szCs w:val="20"/>
        </w:rPr>
        <w:t>Add Lines 14 and 18 and enter the sum on Line 19</w:t>
      </w:r>
      <w:r w:rsidR="0062037C">
        <w:rPr>
          <w:bCs/>
          <w:szCs w:val="20"/>
        </w:rPr>
        <w:t>.</w:t>
      </w:r>
    </w:p>
    <w:p w:rsidR="00E17BF3" w:rsidRDefault="00E17BF3" w:rsidP="003859D2">
      <w:pPr>
        <w:pStyle w:val="Heading2"/>
      </w:pPr>
      <w:bookmarkStart w:id="109" w:name="_Toc127078251"/>
      <w:bookmarkStart w:id="110" w:name="_Toc243725249"/>
      <w:bookmarkStart w:id="111" w:name="_Toc243809430"/>
      <w:bookmarkStart w:id="112" w:name="_Toc285015591"/>
      <w:r>
        <w:t>Conveyance</w:t>
      </w:r>
      <w:bookmarkEnd w:id="109"/>
      <w:bookmarkEnd w:id="110"/>
      <w:bookmarkEnd w:id="111"/>
      <w:bookmarkEnd w:id="112"/>
    </w:p>
    <w:p w:rsidR="00E17BF3" w:rsidRDefault="00E17BF3" w:rsidP="00FA6577">
      <w:pPr>
        <w:pStyle w:val="BodyText"/>
      </w:pPr>
      <w:r w:rsidRPr="00FA6577">
        <w:rPr>
          <w:rStyle w:val="Bold"/>
        </w:rPr>
        <w:t xml:space="preserve">Line 20 – Peak rate of collected combined sewage diverted to the WWTP within sub-sewersheds. </w:t>
      </w:r>
      <w:r>
        <w:rPr>
          <w:szCs w:val="20"/>
        </w:rPr>
        <w:t>Identify the smaller of Line 8 and Line 9 in each</w:t>
      </w:r>
      <w:r w:rsidR="00745415">
        <w:rPr>
          <w:szCs w:val="20"/>
        </w:rPr>
        <w:t xml:space="preserve"> </w:t>
      </w:r>
      <w:r>
        <w:t>sub-sewershed and enter the peak rate in MGD on Line 20.</w:t>
      </w:r>
    </w:p>
    <w:p w:rsidR="0062037C" w:rsidRDefault="00E17BF3" w:rsidP="00FA6577">
      <w:pPr>
        <w:pStyle w:val="BodyText"/>
      </w:pPr>
      <w:r w:rsidRPr="00FA6577">
        <w:rPr>
          <w:rStyle w:val="Bold"/>
        </w:rPr>
        <w:t>Line 21 – Peak rate of combined sewage conveyed to WWTP (MGD).</w:t>
      </w:r>
      <w:r>
        <w:t xml:space="preserve"> This peak rate represents the sum of the peak rates of collected combined sewage diverted to the WWTP from individual sub-sewersheds in MGD. Add up sub-sewershed values on Line 20 and enter on Line 21</w:t>
      </w:r>
      <w:r w:rsidR="0062037C">
        <w:t>.</w:t>
      </w:r>
    </w:p>
    <w:tbl>
      <w:tblPr>
        <w:tblpPr w:leftFromText="187" w:rightFromText="187" w:bottomFromText="259" w:horzAnchor="margin" w:tblpXSpec="right" w:tblpYSpec="top"/>
        <w:tblOverlap w:val="neve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bottom w:w="43" w:type="dxa"/>
          <w:right w:w="72" w:type="dxa"/>
        </w:tblCellMar>
        <w:tblLook w:val="0000" w:firstRow="0" w:lastRow="0" w:firstColumn="0" w:lastColumn="0" w:noHBand="0" w:noVBand="0"/>
      </w:tblPr>
      <w:tblGrid>
        <w:gridCol w:w="3420"/>
        <w:gridCol w:w="2358"/>
      </w:tblGrid>
      <w:tr w:rsidR="00935EAB" w:rsidTr="00935EAB">
        <w:trPr>
          <w:trHeight w:val="202"/>
        </w:trPr>
        <w:tc>
          <w:tcPr>
            <w:tcW w:w="5778" w:type="dxa"/>
            <w:gridSpan w:val="2"/>
            <w:tcBorders>
              <w:top w:val="nil"/>
              <w:left w:val="nil"/>
              <w:bottom w:val="double" w:sz="4" w:space="0" w:color="auto"/>
              <w:right w:val="nil"/>
            </w:tcBorders>
            <w:noWrap/>
            <w:vAlign w:val="bottom"/>
          </w:tcPr>
          <w:p w:rsidR="00935EAB" w:rsidRPr="00163031" w:rsidRDefault="00935EAB" w:rsidP="000A21D7">
            <w:pPr>
              <w:pStyle w:val="Caption"/>
            </w:pPr>
            <w:r w:rsidRPr="00163031">
              <w:t>T</w:t>
            </w:r>
            <w:r w:rsidRPr="001A596C">
              <w:t>able 2. Diversion Fraction of Combined Sewage from 24-Hour Storm</w:t>
            </w:r>
          </w:p>
        </w:tc>
      </w:tr>
      <w:tr w:rsidR="00935EAB" w:rsidTr="00935EAB">
        <w:trPr>
          <w:trHeight w:val="202"/>
        </w:trPr>
        <w:tc>
          <w:tcPr>
            <w:tcW w:w="3420" w:type="dxa"/>
            <w:tcBorders>
              <w:bottom w:val="double" w:sz="4" w:space="0" w:color="auto"/>
            </w:tcBorders>
            <w:noWrap/>
            <w:vAlign w:val="center"/>
          </w:tcPr>
          <w:p w:rsidR="00935EAB" w:rsidRPr="00A827DC" w:rsidRDefault="00935EAB" w:rsidP="000A21D7">
            <w:pPr>
              <w:pStyle w:val="tabletext"/>
              <w:framePr w:hSpace="0" w:wrap="auto" w:vAnchor="margin" w:hAnchor="text" w:xAlign="left" w:yAlign="inline"/>
              <w:suppressOverlap w:val="0"/>
              <w:jc w:val="center"/>
              <w:rPr>
                <w:rFonts w:eastAsia="Arial Unicode MS"/>
                <w:b/>
              </w:rPr>
            </w:pPr>
            <w:r w:rsidRPr="00A827DC">
              <w:rPr>
                <w:b/>
              </w:rPr>
              <w:t>Ratio of CSO hydraulic control capacity to peak flow rate</w:t>
            </w:r>
          </w:p>
        </w:tc>
        <w:tc>
          <w:tcPr>
            <w:tcW w:w="2358" w:type="dxa"/>
            <w:tcBorders>
              <w:bottom w:val="double" w:sz="4" w:space="0" w:color="auto"/>
            </w:tcBorders>
            <w:noWrap/>
            <w:vAlign w:val="center"/>
          </w:tcPr>
          <w:p w:rsidR="00935EAB" w:rsidRPr="00A827DC" w:rsidRDefault="00935EAB" w:rsidP="000A21D7">
            <w:pPr>
              <w:pStyle w:val="tabletext"/>
              <w:framePr w:hSpace="0" w:wrap="auto" w:vAnchor="margin" w:hAnchor="text" w:xAlign="left" w:yAlign="inline"/>
              <w:suppressOverlap w:val="0"/>
              <w:jc w:val="center"/>
              <w:rPr>
                <w:rFonts w:eastAsia="Arial Unicode MS"/>
                <w:b/>
              </w:rPr>
            </w:pPr>
            <w:r w:rsidRPr="00A827DC">
              <w:rPr>
                <w:b/>
              </w:rPr>
              <w:t>Diversion fraction</w:t>
            </w:r>
          </w:p>
        </w:tc>
      </w:tr>
      <w:tr w:rsidR="00935EAB" w:rsidTr="00935EAB">
        <w:trPr>
          <w:trHeight w:val="202"/>
        </w:trPr>
        <w:tc>
          <w:tcPr>
            <w:tcW w:w="3420" w:type="dxa"/>
            <w:tcBorders>
              <w:top w:val="double" w:sz="4" w:space="0" w:color="auto"/>
            </w:tcBorders>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0.01 to 0.02</w:t>
            </w:r>
          </w:p>
        </w:tc>
        <w:tc>
          <w:tcPr>
            <w:tcW w:w="2358" w:type="dxa"/>
            <w:tcBorders>
              <w:top w:val="double" w:sz="4" w:space="0" w:color="auto"/>
            </w:tcBorders>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0.04</w:t>
            </w:r>
          </w:p>
        </w:tc>
      </w:tr>
      <w:tr w:rsidR="00935EAB" w:rsidTr="00935EAB">
        <w:trPr>
          <w:trHeight w:val="202"/>
        </w:trPr>
        <w:tc>
          <w:tcPr>
            <w:tcW w:w="3420"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0.02 to 0.03</w:t>
            </w:r>
          </w:p>
        </w:tc>
        <w:tc>
          <w:tcPr>
            <w:tcW w:w="2358"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0.06</w:t>
            </w:r>
          </w:p>
        </w:tc>
      </w:tr>
      <w:tr w:rsidR="00935EAB" w:rsidTr="00935EAB">
        <w:trPr>
          <w:trHeight w:val="202"/>
        </w:trPr>
        <w:tc>
          <w:tcPr>
            <w:tcW w:w="3420"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0.03 to 0.04</w:t>
            </w:r>
          </w:p>
        </w:tc>
        <w:tc>
          <w:tcPr>
            <w:tcW w:w="2358"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0.09</w:t>
            </w:r>
          </w:p>
        </w:tc>
      </w:tr>
      <w:tr w:rsidR="00935EAB" w:rsidTr="00935EAB">
        <w:trPr>
          <w:trHeight w:val="202"/>
        </w:trPr>
        <w:tc>
          <w:tcPr>
            <w:tcW w:w="3420"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0.04 to 0.05</w:t>
            </w:r>
          </w:p>
        </w:tc>
        <w:tc>
          <w:tcPr>
            <w:tcW w:w="2358"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0.11</w:t>
            </w:r>
          </w:p>
        </w:tc>
      </w:tr>
      <w:tr w:rsidR="00935EAB" w:rsidTr="00935EAB">
        <w:trPr>
          <w:trHeight w:val="202"/>
        </w:trPr>
        <w:tc>
          <w:tcPr>
            <w:tcW w:w="3420"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0.05 to 0.06</w:t>
            </w:r>
          </w:p>
        </w:tc>
        <w:tc>
          <w:tcPr>
            <w:tcW w:w="2358"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0.14</w:t>
            </w:r>
          </w:p>
        </w:tc>
      </w:tr>
      <w:tr w:rsidR="00935EAB" w:rsidTr="00935EAB">
        <w:trPr>
          <w:trHeight w:val="202"/>
        </w:trPr>
        <w:tc>
          <w:tcPr>
            <w:tcW w:w="3420"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0.06 to 0.07</w:t>
            </w:r>
          </w:p>
        </w:tc>
        <w:tc>
          <w:tcPr>
            <w:tcW w:w="2358"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0.16</w:t>
            </w:r>
          </w:p>
        </w:tc>
      </w:tr>
      <w:tr w:rsidR="00935EAB" w:rsidTr="00935EAB">
        <w:trPr>
          <w:trHeight w:val="202"/>
        </w:trPr>
        <w:tc>
          <w:tcPr>
            <w:tcW w:w="3420"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0.07 to 0.08</w:t>
            </w:r>
          </w:p>
        </w:tc>
        <w:tc>
          <w:tcPr>
            <w:tcW w:w="2358"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0.19</w:t>
            </w:r>
          </w:p>
        </w:tc>
      </w:tr>
      <w:tr w:rsidR="00935EAB" w:rsidTr="00935EAB">
        <w:trPr>
          <w:trHeight w:val="202"/>
        </w:trPr>
        <w:tc>
          <w:tcPr>
            <w:tcW w:w="3420"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0.08 to 0.09</w:t>
            </w:r>
          </w:p>
        </w:tc>
        <w:tc>
          <w:tcPr>
            <w:tcW w:w="2358"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0.21</w:t>
            </w:r>
          </w:p>
        </w:tc>
      </w:tr>
      <w:tr w:rsidR="00935EAB" w:rsidTr="00935EAB">
        <w:trPr>
          <w:trHeight w:val="202"/>
        </w:trPr>
        <w:tc>
          <w:tcPr>
            <w:tcW w:w="3420"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0.09 to 0.10</w:t>
            </w:r>
          </w:p>
        </w:tc>
        <w:tc>
          <w:tcPr>
            <w:tcW w:w="2358"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0.24</w:t>
            </w:r>
          </w:p>
        </w:tc>
      </w:tr>
      <w:tr w:rsidR="00935EAB" w:rsidTr="00935EAB">
        <w:trPr>
          <w:trHeight w:val="202"/>
        </w:trPr>
        <w:tc>
          <w:tcPr>
            <w:tcW w:w="3420"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0.10 to 0.12</w:t>
            </w:r>
          </w:p>
        </w:tc>
        <w:tc>
          <w:tcPr>
            <w:tcW w:w="2358"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0.28</w:t>
            </w:r>
          </w:p>
        </w:tc>
      </w:tr>
      <w:tr w:rsidR="00935EAB" w:rsidTr="00935EAB">
        <w:trPr>
          <w:trHeight w:val="202"/>
        </w:trPr>
        <w:tc>
          <w:tcPr>
            <w:tcW w:w="3420"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0.12 to 0.14</w:t>
            </w:r>
          </w:p>
        </w:tc>
        <w:tc>
          <w:tcPr>
            <w:tcW w:w="2358"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0.33</w:t>
            </w:r>
          </w:p>
        </w:tc>
      </w:tr>
      <w:tr w:rsidR="00935EAB" w:rsidTr="00935EAB">
        <w:trPr>
          <w:trHeight w:val="202"/>
        </w:trPr>
        <w:tc>
          <w:tcPr>
            <w:tcW w:w="3420"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0.14 to 0.16</w:t>
            </w:r>
          </w:p>
        </w:tc>
        <w:tc>
          <w:tcPr>
            <w:tcW w:w="2358"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0.38</w:t>
            </w:r>
          </w:p>
        </w:tc>
      </w:tr>
      <w:tr w:rsidR="00935EAB" w:rsidTr="00935EAB">
        <w:trPr>
          <w:trHeight w:val="202"/>
        </w:trPr>
        <w:tc>
          <w:tcPr>
            <w:tcW w:w="3420"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0.16 to 0.18</w:t>
            </w:r>
          </w:p>
        </w:tc>
        <w:tc>
          <w:tcPr>
            <w:tcW w:w="2358"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0.42</w:t>
            </w:r>
          </w:p>
        </w:tc>
      </w:tr>
      <w:tr w:rsidR="00935EAB" w:rsidTr="00935EAB">
        <w:trPr>
          <w:trHeight w:val="202"/>
        </w:trPr>
        <w:tc>
          <w:tcPr>
            <w:tcW w:w="3420"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0.18 to 0.20</w:t>
            </w:r>
          </w:p>
        </w:tc>
        <w:tc>
          <w:tcPr>
            <w:tcW w:w="2358"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0.47</w:t>
            </w:r>
          </w:p>
        </w:tc>
      </w:tr>
      <w:tr w:rsidR="00935EAB" w:rsidTr="00935EAB">
        <w:trPr>
          <w:trHeight w:val="202"/>
        </w:trPr>
        <w:tc>
          <w:tcPr>
            <w:tcW w:w="3420"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0.20 to 0.24</w:t>
            </w:r>
          </w:p>
        </w:tc>
        <w:tc>
          <w:tcPr>
            <w:tcW w:w="2358"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0.54</w:t>
            </w:r>
          </w:p>
        </w:tc>
      </w:tr>
      <w:tr w:rsidR="00935EAB" w:rsidTr="00935EAB">
        <w:trPr>
          <w:trHeight w:val="202"/>
        </w:trPr>
        <w:tc>
          <w:tcPr>
            <w:tcW w:w="3420"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0.24 to 0.28</w:t>
            </w:r>
          </w:p>
        </w:tc>
        <w:tc>
          <w:tcPr>
            <w:tcW w:w="2358"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0.62</w:t>
            </w:r>
          </w:p>
        </w:tc>
      </w:tr>
      <w:tr w:rsidR="00935EAB" w:rsidTr="00935EAB">
        <w:trPr>
          <w:trHeight w:val="202"/>
        </w:trPr>
        <w:tc>
          <w:tcPr>
            <w:tcW w:w="3420"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0.28 to 0.32</w:t>
            </w:r>
          </w:p>
        </w:tc>
        <w:tc>
          <w:tcPr>
            <w:tcW w:w="2358"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0.68</w:t>
            </w:r>
          </w:p>
        </w:tc>
      </w:tr>
      <w:tr w:rsidR="00935EAB" w:rsidTr="00935EAB">
        <w:trPr>
          <w:trHeight w:val="202"/>
        </w:trPr>
        <w:tc>
          <w:tcPr>
            <w:tcW w:w="3420"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0.32 to 0.36</w:t>
            </w:r>
          </w:p>
        </w:tc>
        <w:tc>
          <w:tcPr>
            <w:tcW w:w="2358"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0.72</w:t>
            </w:r>
          </w:p>
        </w:tc>
      </w:tr>
      <w:tr w:rsidR="00935EAB" w:rsidTr="00935EAB">
        <w:trPr>
          <w:trHeight w:val="202"/>
        </w:trPr>
        <w:tc>
          <w:tcPr>
            <w:tcW w:w="3420"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0.36 to 0.40</w:t>
            </w:r>
          </w:p>
        </w:tc>
        <w:tc>
          <w:tcPr>
            <w:tcW w:w="2358"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0.76</w:t>
            </w:r>
          </w:p>
        </w:tc>
      </w:tr>
      <w:tr w:rsidR="00935EAB" w:rsidTr="00935EAB">
        <w:trPr>
          <w:trHeight w:val="202"/>
        </w:trPr>
        <w:tc>
          <w:tcPr>
            <w:tcW w:w="3420"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0.41 to 0.50</w:t>
            </w:r>
          </w:p>
        </w:tc>
        <w:tc>
          <w:tcPr>
            <w:tcW w:w="2358"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0.81</w:t>
            </w:r>
          </w:p>
        </w:tc>
      </w:tr>
      <w:tr w:rsidR="00935EAB" w:rsidTr="00935EAB">
        <w:trPr>
          <w:trHeight w:val="202"/>
        </w:trPr>
        <w:tc>
          <w:tcPr>
            <w:tcW w:w="3420"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0.51 to 0.60</w:t>
            </w:r>
          </w:p>
        </w:tc>
        <w:tc>
          <w:tcPr>
            <w:tcW w:w="2358"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0.87</w:t>
            </w:r>
          </w:p>
        </w:tc>
      </w:tr>
      <w:tr w:rsidR="00935EAB" w:rsidTr="00935EAB">
        <w:trPr>
          <w:trHeight w:val="202"/>
        </w:trPr>
        <w:tc>
          <w:tcPr>
            <w:tcW w:w="3420"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0.61 to 0.70</w:t>
            </w:r>
          </w:p>
        </w:tc>
        <w:tc>
          <w:tcPr>
            <w:tcW w:w="2358"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0.91</w:t>
            </w:r>
          </w:p>
        </w:tc>
      </w:tr>
      <w:tr w:rsidR="00935EAB" w:rsidTr="00935EAB">
        <w:trPr>
          <w:trHeight w:val="202"/>
        </w:trPr>
        <w:tc>
          <w:tcPr>
            <w:tcW w:w="3420"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0.71 to 0.80</w:t>
            </w:r>
          </w:p>
        </w:tc>
        <w:tc>
          <w:tcPr>
            <w:tcW w:w="2358"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0.95</w:t>
            </w:r>
          </w:p>
        </w:tc>
      </w:tr>
      <w:tr w:rsidR="00935EAB" w:rsidTr="00935EAB">
        <w:trPr>
          <w:trHeight w:val="202"/>
        </w:trPr>
        <w:tc>
          <w:tcPr>
            <w:tcW w:w="3420"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0.81 to 0.90</w:t>
            </w:r>
          </w:p>
        </w:tc>
        <w:tc>
          <w:tcPr>
            <w:tcW w:w="2358" w:type="dxa"/>
            <w:tcBorders>
              <w:bottom w:val="single" w:sz="4" w:space="0" w:color="auto"/>
            </w:tcBorders>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0.98</w:t>
            </w:r>
          </w:p>
        </w:tc>
      </w:tr>
      <w:tr w:rsidR="00935EAB" w:rsidTr="00935EAB">
        <w:trPr>
          <w:trHeight w:val="202"/>
        </w:trPr>
        <w:tc>
          <w:tcPr>
            <w:tcW w:w="3420"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0.91 to 1.0</w:t>
            </w:r>
          </w:p>
        </w:tc>
        <w:tc>
          <w:tcPr>
            <w:tcW w:w="2358" w:type="dxa"/>
            <w:shd w:val="clear" w:color="auto" w:fill="C0C0C0"/>
            <w:noWrap/>
            <w:vAlign w:val="center"/>
          </w:tcPr>
          <w:p w:rsidR="00935EAB" w:rsidRDefault="00935EAB" w:rsidP="000A21D7">
            <w:pPr>
              <w:pStyle w:val="tabletext"/>
              <w:framePr w:hSpace="0" w:wrap="auto" w:vAnchor="margin" w:hAnchor="text" w:xAlign="left" w:yAlign="inline"/>
              <w:suppressOverlap w:val="0"/>
              <w:jc w:val="center"/>
              <w:rPr>
                <w:rFonts w:eastAsia="Arial Unicode MS"/>
              </w:rPr>
            </w:pPr>
            <w:r>
              <w:t>0.99</w:t>
            </w:r>
          </w:p>
        </w:tc>
      </w:tr>
    </w:tbl>
    <w:p w:rsidR="00E17BF3" w:rsidRDefault="00E17BF3" w:rsidP="00FA6577">
      <w:pPr>
        <w:pStyle w:val="BodyText"/>
        <w:rPr>
          <w:bCs/>
        </w:rPr>
      </w:pPr>
      <w:r w:rsidRPr="00FA6577">
        <w:rPr>
          <w:rStyle w:val="Bold"/>
        </w:rPr>
        <w:t xml:space="preserve">Line 22 – Peak rate of sewage from non-CSO areas (MGD). </w:t>
      </w:r>
      <w:r>
        <w:t>Non-CSO</w:t>
      </w:r>
      <w:r w:rsidRPr="00FA6577">
        <w:rPr>
          <w:rStyle w:val="Bold"/>
        </w:rPr>
        <w:t xml:space="preserve"> </w:t>
      </w:r>
      <w:r>
        <w:t xml:space="preserve">areas can be affected by wet weather conditions due to </w:t>
      </w:r>
      <w:r w:rsidR="00B65F21" w:rsidRPr="004F7A66">
        <w:t>Inflow/Infiltration</w:t>
      </w:r>
      <w:r w:rsidR="00B65F21">
        <w:t xml:space="preserve"> (</w:t>
      </w:r>
      <w:r>
        <w:t>I/I</w:t>
      </w:r>
      <w:r w:rsidR="00B65F21">
        <w:t>)</w:t>
      </w:r>
      <w:r>
        <w:t xml:space="preserve">. </w:t>
      </w:r>
      <w:r w:rsidR="00F625FA">
        <w:t>T</w:t>
      </w:r>
      <w:r>
        <w:t>he degree to which the peak rate of sewage in non-CSO areas is higher than the average dry</w:t>
      </w:r>
      <w:r w:rsidR="00B65F21">
        <w:t>-</w:t>
      </w:r>
      <w:r>
        <w:t>weather flow rate depends on site-specific conditions. Direct measurement of the peak rate of sewage during wet weather is the</w:t>
      </w:r>
      <w:r w:rsidR="00152EEE">
        <w:t xml:space="preserve"> best approach for</w:t>
      </w:r>
      <w:r w:rsidR="009025CA">
        <w:t xml:space="preserve"> determining this rate. Estimation based on flow measured at the WWTP and local knowledge of the distribution of flow in the service area provides another approach. Peaking factors can also be used to adjust the average dry-weather flow upward. Newer </w:t>
      </w:r>
      <w:r w:rsidR="009025CA" w:rsidRPr="00FA6577">
        <w:rPr>
          <w:rStyle w:val="italic"/>
        </w:rPr>
        <w:t>tight</w:t>
      </w:r>
      <w:r w:rsidR="009025CA">
        <w:t xml:space="preserve"> sewer systems might have peaking factors between 1.0 and 1.5. Older, leakier systems might have peaking factors between 1.5 and 3.0, or even higher. Enter on Line 22 the peak rate of sewage conveyed to the WWTP from non-CSO areas in</w:t>
      </w:r>
      <w:r w:rsidR="00036D9C">
        <w:t xml:space="preserve"> the</w:t>
      </w:r>
      <w:r w:rsidR="009025CA">
        <w:t xml:space="preserve"> community (in MGD).</w:t>
      </w:r>
    </w:p>
    <w:p w:rsidR="00E17BF3" w:rsidRDefault="00E17BF3">
      <w:pPr>
        <w:framePr w:w="7603" w:wrap="auto" w:hAnchor="text"/>
        <w:rPr>
          <w:rFonts w:cs="Arial"/>
          <w:bCs/>
          <w:szCs w:val="20"/>
        </w:rPr>
        <w:sectPr w:rsidR="00E17BF3" w:rsidSect="00A20390">
          <w:footerReference w:type="default" r:id="rId52"/>
          <w:endnotePr>
            <w:numFmt w:val="decimal"/>
            <w:numRestart w:val="eachSect"/>
          </w:endnotePr>
          <w:type w:val="continuous"/>
          <w:pgSz w:w="12240" w:h="15840" w:code="1"/>
          <w:pgMar w:top="1440" w:right="1440" w:bottom="1440" w:left="1440" w:header="720" w:footer="720" w:gutter="0"/>
          <w:cols w:num="3" w:space="360"/>
          <w:docGrid w:linePitch="360"/>
        </w:sectPr>
      </w:pPr>
    </w:p>
    <w:p w:rsidR="00E17BF3" w:rsidRDefault="00502FFC" w:rsidP="00FA6577">
      <w:pPr>
        <w:pStyle w:val="BodyText"/>
        <w:rPr>
          <w:bCs/>
        </w:rPr>
      </w:pPr>
      <w:r>
        <w:rPr>
          <w:rStyle w:val="Bold"/>
        </w:rPr>
        <w:lastRenderedPageBreak/>
        <w:t>Li</w:t>
      </w:r>
      <w:r w:rsidR="00E17BF3" w:rsidRPr="00FA6577">
        <w:rPr>
          <w:rStyle w:val="Bold"/>
        </w:rPr>
        <w:t xml:space="preserve">ne 23 – Peak rate of sewage from satellite communities (MGD). </w:t>
      </w:r>
      <w:r w:rsidR="00E17BF3">
        <w:t>Satellite communities can be affected by wet weather conditions due to I/</w:t>
      </w:r>
      <w:smartTag w:uri="urn:schemas-microsoft-com:office:smarttags" w:element="place">
        <w:r w:rsidR="00E17BF3">
          <w:t>I.</w:t>
        </w:r>
      </w:smartTag>
      <w:r w:rsidR="00E17BF3">
        <w:t xml:space="preserve"> </w:t>
      </w:r>
      <w:r w:rsidR="00F625FA">
        <w:t>T</w:t>
      </w:r>
      <w:r w:rsidR="00E17BF3">
        <w:t>he degree to which the peak rate of sewage in satellite communities is higher than the average dry</w:t>
      </w:r>
      <w:r w:rsidR="007C1E0F">
        <w:t>-</w:t>
      </w:r>
      <w:r w:rsidR="00E17BF3">
        <w:t>weather flow rate depends on site-specific conditions. Direct measurement of the peak rate of sewage during wet weather is the best approach for determining this rate. Estimation based on flow measured at the WWTP and local knowledge of the distribution of flow in the service area provides another approach. Peaking factors can also be used to adjust the average dry</w:t>
      </w:r>
      <w:r w:rsidR="007C1E0F">
        <w:t>-</w:t>
      </w:r>
      <w:r w:rsidR="00E17BF3">
        <w:t>weather flow upward. Newer tight sewer systems m</w:t>
      </w:r>
      <w:r w:rsidR="007C1E0F">
        <w:t>ight</w:t>
      </w:r>
      <w:r w:rsidR="00E17BF3">
        <w:t xml:space="preserve"> have peaking factors between 1.0 and 1.5. Older, leakier systems m</w:t>
      </w:r>
      <w:r w:rsidR="007C1E0F">
        <w:t>ight</w:t>
      </w:r>
      <w:r w:rsidR="00E17BF3">
        <w:t xml:space="preserve"> have peaking factors between 1.5 and 3.0, or even higher. The maximum rate of flow from capacity agreements </w:t>
      </w:r>
      <w:r w:rsidR="007C1E0F">
        <w:t>can</w:t>
      </w:r>
      <w:r w:rsidR="00E17BF3">
        <w:t xml:space="preserve"> also be used and m</w:t>
      </w:r>
      <w:r w:rsidR="007C1E0F">
        <w:t>ight</w:t>
      </w:r>
      <w:r w:rsidR="00E17BF3">
        <w:t xml:space="preserve"> be more appropriate than measurements or estimates. Enter</w:t>
      </w:r>
      <w:r w:rsidR="007C1E0F" w:rsidRPr="007C1E0F">
        <w:t xml:space="preserve"> </w:t>
      </w:r>
      <w:r w:rsidR="007C1E0F">
        <w:t>on Line 23</w:t>
      </w:r>
      <w:r w:rsidR="00E17BF3">
        <w:t xml:space="preserve"> the peak rate of sewage conveyed to the WWTP from satellite communities </w:t>
      </w:r>
      <w:r w:rsidR="007C1E0F">
        <w:t>(</w:t>
      </w:r>
      <w:r w:rsidR="00E17BF3">
        <w:t>in MGD</w:t>
      </w:r>
      <w:r w:rsidR="007C1E0F">
        <w:t>)</w:t>
      </w:r>
      <w:r w:rsidR="00E17BF3">
        <w:t>.</w:t>
      </w:r>
    </w:p>
    <w:p w:rsidR="0062037C" w:rsidRDefault="00E17BF3" w:rsidP="00FA6577">
      <w:pPr>
        <w:pStyle w:val="BodyText"/>
      </w:pPr>
      <w:r w:rsidRPr="00FA6577">
        <w:rPr>
          <w:rStyle w:val="Bold"/>
        </w:rPr>
        <w:t>Line 24 – Peak rate of sewage conveyed to the WWTP (MGD).</w:t>
      </w:r>
      <w:r>
        <w:t xml:space="preserve"> This is the peak rate of sewage flow in MGD received at the WWTP from the CSS and adjacent non-CSO areas in the community and satellite communities. Add Lines 21, 22 and 23 and enter the sum on Line 24</w:t>
      </w:r>
      <w:r w:rsidR="0062037C">
        <w:t>.</w:t>
      </w:r>
    </w:p>
    <w:p w:rsidR="00E17BF3" w:rsidRDefault="00E17BF3" w:rsidP="003859D2">
      <w:pPr>
        <w:pStyle w:val="Heading2"/>
      </w:pPr>
      <w:bookmarkStart w:id="113" w:name="_Toc127078253"/>
      <w:bookmarkStart w:id="114" w:name="_Toc243725250"/>
      <w:bookmarkStart w:id="115" w:name="_Toc243809431"/>
      <w:bookmarkStart w:id="116" w:name="_Toc285015592"/>
      <w:r>
        <w:t>Treatment</w:t>
      </w:r>
      <w:bookmarkEnd w:id="113"/>
      <w:bookmarkEnd w:id="114"/>
      <w:bookmarkEnd w:id="115"/>
      <w:bookmarkEnd w:id="116"/>
    </w:p>
    <w:p w:rsidR="0062037C" w:rsidRDefault="00E17BF3" w:rsidP="00FA6577">
      <w:pPr>
        <w:pStyle w:val="BodyText"/>
      </w:pPr>
      <w:r w:rsidRPr="00FA6577">
        <w:rPr>
          <w:rStyle w:val="Bold"/>
        </w:rPr>
        <w:t xml:space="preserve">Line 25 – Primary treatment capacity (MGD). </w:t>
      </w:r>
      <w:r>
        <w:rPr>
          <w:bCs/>
        </w:rPr>
        <w:t xml:space="preserve">Enter the primary treatment capacity in MGD on Line 25 (Line 4a on FORM </w:t>
      </w:r>
      <w:r w:rsidR="005939DE">
        <w:rPr>
          <w:bCs/>
        </w:rPr>
        <w:t xml:space="preserve">GREEN </w:t>
      </w:r>
      <w:r>
        <w:rPr>
          <w:bCs/>
        </w:rPr>
        <w:t>LTCP-EZ.</w:t>
      </w:r>
      <w:r>
        <w:t xml:space="preserve"> If you are using the electronic version of the form, this value will have been filled in automatically)</w:t>
      </w:r>
      <w:r w:rsidR="0062037C">
        <w:t>.</w:t>
      </w:r>
    </w:p>
    <w:p w:rsidR="00E17BF3" w:rsidRDefault="00E17BF3" w:rsidP="00FA6577">
      <w:pPr>
        <w:pStyle w:val="BodyText"/>
      </w:pPr>
      <w:r>
        <w:t>Us</w:t>
      </w:r>
      <w:r w:rsidR="007C1E0F">
        <w:t>ing</w:t>
      </w:r>
      <w:r>
        <w:t xml:space="preserve"> primary treatment capacity for CSO control is a viable option where approval of the regulatory agency has been obtained. The CSO Control Policy indicates that combined sewer flows remaining after implement</w:t>
      </w:r>
      <w:r w:rsidR="007C1E0F">
        <w:t>ing</w:t>
      </w:r>
      <w:r>
        <w:t xml:space="preserve"> the NMCs and within the criteria under the presumption approach at a minimum should receive</w:t>
      </w:r>
      <w:r w:rsidR="007C1E0F">
        <w:t xml:space="preserve"> the following</w:t>
      </w:r>
      <w:r>
        <w:t>:</w:t>
      </w:r>
    </w:p>
    <w:p w:rsidR="00E17BF3" w:rsidRDefault="00E17BF3" w:rsidP="00A20390">
      <w:pPr>
        <w:pStyle w:val="bullet"/>
      </w:pPr>
      <w:r>
        <w:t xml:space="preserve">Primary clarification (removal of floatables and settleable solids </w:t>
      </w:r>
      <w:r w:rsidR="007C1E0F">
        <w:t xml:space="preserve">can </w:t>
      </w:r>
      <w:r>
        <w:t>be achieved by any combination of treatment technologies or methods that are shown to be equivalent to primary clarification)</w:t>
      </w:r>
    </w:p>
    <w:p w:rsidR="00E17BF3" w:rsidRDefault="00E17BF3" w:rsidP="00A20390">
      <w:pPr>
        <w:pStyle w:val="bullet"/>
      </w:pPr>
      <w:r>
        <w:t>Solids and floatables disposal</w:t>
      </w:r>
    </w:p>
    <w:p w:rsidR="00E17BF3" w:rsidRDefault="00E17BF3" w:rsidP="00A20390">
      <w:pPr>
        <w:pStyle w:val="bullet"/>
      </w:pPr>
      <w:r>
        <w:t>Disinfection of effluent, if necessary, to meet WQS, protect designated uses and protect human health, including removal of harmful disinfection residuals, where necessary</w:t>
      </w:r>
    </w:p>
    <w:p w:rsidR="00E17BF3" w:rsidRDefault="00E17BF3" w:rsidP="00FA6577">
      <w:pPr>
        <w:pStyle w:val="BodyText"/>
      </w:pPr>
      <w:r>
        <w:t xml:space="preserve">The </w:t>
      </w:r>
      <w:r w:rsidRPr="00B64EF9">
        <w:rPr>
          <w:rStyle w:val="italic"/>
        </w:rPr>
        <w:t>Combined Sewer Overflows Guidance for Long-Term Control Plan</w:t>
      </w:r>
      <w:r>
        <w:t xml:space="preserve"> document, Section 3.3.3.5, </w:t>
      </w:r>
      <w:r w:rsidR="009866FF">
        <w:t xml:space="preserve">Maximum </w:t>
      </w:r>
      <w:r>
        <w:t>Utilization of POTW Capacity and CSO-Related Bypass</w:t>
      </w:r>
      <w:r w:rsidR="007C1E0F">
        <w:t xml:space="preserve"> </w:t>
      </w:r>
      <w:r w:rsidR="007C1E0F" w:rsidRPr="009341BB">
        <w:t>(</w:t>
      </w:r>
      <w:r w:rsidR="00507715" w:rsidRPr="009341BB">
        <w:t>EPA 1995</w:t>
      </w:r>
      <w:r w:rsidR="009341BB" w:rsidRPr="009341BB">
        <w:t>a</w:t>
      </w:r>
      <w:r w:rsidR="00507715" w:rsidRPr="009341BB">
        <w:t>)</w:t>
      </w:r>
      <w:r w:rsidRPr="009341BB">
        <w:t>,</w:t>
      </w:r>
      <w:r>
        <w:t xml:space="preserve"> addresses the specific case where existing primary treatment capacity exceeds secondary treatment capacity</w:t>
      </w:r>
      <w:r w:rsidR="009866FF">
        <w:t xml:space="preserve">. </w:t>
      </w:r>
      <w:r>
        <w:t xml:space="preserve">For such cases, the CSO Control Policy states that at the request of the municipality, EPA may allow an NPDES permit “to </w:t>
      </w:r>
      <w:r w:rsidR="009866FF">
        <w:t>approve</w:t>
      </w:r>
      <w:r>
        <w:t xml:space="preserve"> a CSO-related bypass of the secondary treatment portion of the POTW treatment plant for </w:t>
      </w:r>
      <w:r w:rsidR="00627DBA">
        <w:t>CSO</w:t>
      </w:r>
      <w:r>
        <w:t>s in certain identified circumstances” (II.C.7)</w:t>
      </w:r>
      <w:r w:rsidR="0043213D">
        <w:t xml:space="preserve">. </w:t>
      </w:r>
      <w:r>
        <w:t>Under th</w:t>
      </w:r>
      <w:r w:rsidR="007C1E0F">
        <w:t>at</w:t>
      </w:r>
      <w:r>
        <w:t xml:space="preserve"> provision, flows to the POTW within the capacity of primary treatment facilities but in excess of the capacity of secondary treatment facilities may be diverted around the secondary facilities provided </w:t>
      </w:r>
      <w:r>
        <w:t>that “all wet weather flows passing the headworks of the POTW treatment plant will receive at least primary clarification and solids and floatables removal and disposal, and disinfection, where necessary, and any other treatment that can be reasonably provided” (II.C.7)</w:t>
      </w:r>
      <w:r w:rsidR="0043213D">
        <w:t xml:space="preserve">. </w:t>
      </w:r>
      <w:r>
        <w:t xml:space="preserve">In addition, the CSO-related bypass should not cause exceedance of </w:t>
      </w:r>
      <w:r w:rsidR="007C1E0F">
        <w:t>water quality standards</w:t>
      </w:r>
      <w:r>
        <w:t>.</w:t>
      </w:r>
    </w:p>
    <w:p w:rsidR="00E17BF3" w:rsidRDefault="00E17BF3" w:rsidP="00FA6577">
      <w:pPr>
        <w:pStyle w:val="BodyText"/>
        <w:rPr>
          <w:bCs/>
        </w:rPr>
      </w:pPr>
      <w:r w:rsidRPr="00FA6577">
        <w:rPr>
          <w:rStyle w:val="Bold"/>
        </w:rPr>
        <w:t xml:space="preserve">Line 26 – Ratio of primary treatment capacity to peak rate of sewage conveyed to WWTP. </w:t>
      </w:r>
      <w:bookmarkStart w:id="117" w:name="OLE_LINK9"/>
      <w:bookmarkStart w:id="118" w:name="OLE_LINK10"/>
      <w:r>
        <w:rPr>
          <w:bCs/>
        </w:rPr>
        <w:t xml:space="preserve">Enter 1.0 on Line 26 if Line 25 is greater than Line 24. </w:t>
      </w:r>
      <w:bookmarkEnd w:id="117"/>
      <w:bookmarkEnd w:id="118"/>
      <w:r>
        <w:rPr>
          <w:bCs/>
        </w:rPr>
        <w:t>Otherwise, divide Line 25 by Line 24 and enter the quotient (result) on Line 26.</w:t>
      </w:r>
    </w:p>
    <w:p w:rsidR="0062037C" w:rsidRDefault="00E17BF3" w:rsidP="00FA6577">
      <w:pPr>
        <w:pStyle w:val="BodyText"/>
      </w:pPr>
      <w:r w:rsidRPr="00FA6577">
        <w:rPr>
          <w:rStyle w:val="Bold"/>
        </w:rPr>
        <w:t xml:space="preserve">Line 27 –Fraction of combined sewage untreated at WWTP. </w:t>
      </w:r>
      <w:r>
        <w:t>This is the fraction of sewage delivered to the WWTP during the 24-hour rainfall period that does not receive primary treatment. It is based on the ratio of primary treatment capacity to peak rate of sewage conveyed to the WWTP. Take the square of (1 minus the value on Line 26) and enter it on Line 27. For example, if the ratio of primary treatment capacity to peak rate of sewage conveyed to the WWTP on Line 26 is 0.80, the overflow fraction is (1</w:t>
      </w:r>
      <w:r w:rsidR="007C1E0F">
        <w:t xml:space="preserve"> – </w:t>
      </w:r>
      <w:r>
        <w:t>0.80)</w:t>
      </w:r>
      <w:r>
        <w:rPr>
          <w:vertAlign w:val="superscript"/>
        </w:rPr>
        <w:t>2</w:t>
      </w:r>
      <w:r>
        <w:t>, or 0.04</w:t>
      </w:r>
      <w:r w:rsidR="0062037C">
        <w:t>.</w:t>
      </w:r>
    </w:p>
    <w:p w:rsidR="0062037C" w:rsidRDefault="00E17BF3" w:rsidP="005822D8">
      <w:pPr>
        <w:pStyle w:val="BodyText"/>
        <w:rPr>
          <w:bCs/>
          <w:szCs w:val="20"/>
        </w:rPr>
      </w:pPr>
      <w:r w:rsidRPr="00FA6577">
        <w:rPr>
          <w:rStyle w:val="Bold"/>
        </w:rPr>
        <w:t xml:space="preserve">Line 28 – Sum of combined sewage conveyed to WWTP during 24-hour rainfall period (MG). </w:t>
      </w:r>
      <w:r>
        <w:rPr>
          <w:bCs/>
          <w:szCs w:val="20"/>
        </w:rPr>
        <w:t xml:space="preserve">Add up the sub-sewershed values in MG on Line 19 and enter </w:t>
      </w:r>
      <w:r w:rsidR="007C1E0F">
        <w:rPr>
          <w:bCs/>
          <w:szCs w:val="20"/>
        </w:rPr>
        <w:t xml:space="preserve">the sum </w:t>
      </w:r>
      <w:r>
        <w:rPr>
          <w:bCs/>
          <w:szCs w:val="20"/>
        </w:rPr>
        <w:t>on Line 28</w:t>
      </w:r>
      <w:r w:rsidR="0062037C">
        <w:rPr>
          <w:bCs/>
          <w:szCs w:val="20"/>
        </w:rPr>
        <w:t>.</w:t>
      </w:r>
    </w:p>
    <w:p w:rsidR="00E17BF3" w:rsidRDefault="00E17BF3" w:rsidP="005822D8">
      <w:pPr>
        <w:pStyle w:val="BodyText"/>
      </w:pPr>
      <w:r w:rsidRPr="00FA6577">
        <w:rPr>
          <w:rStyle w:val="Bold"/>
        </w:rPr>
        <w:t>Line 29 – Dry</w:t>
      </w:r>
      <w:r w:rsidR="00B65F21" w:rsidRPr="00FA6577">
        <w:rPr>
          <w:rStyle w:val="Bold"/>
        </w:rPr>
        <w:t>-</w:t>
      </w:r>
      <w:r w:rsidRPr="00FA6577">
        <w:rPr>
          <w:rStyle w:val="Bold"/>
        </w:rPr>
        <w:t xml:space="preserve">weather flow from the non-CSO area (MGD). </w:t>
      </w:r>
      <w:r>
        <w:t>Enter the dry</w:t>
      </w:r>
      <w:r w:rsidR="007C1E0F">
        <w:t>-</w:t>
      </w:r>
      <w:r>
        <w:t>weather flow rate from the non-CSO area in MGD on Line 29. If dry</w:t>
      </w:r>
      <w:r w:rsidR="007C1E0F">
        <w:t>-</w:t>
      </w:r>
      <w:r>
        <w:t xml:space="preserve">weather flow for the non-CSO area is unknown, develop an </w:t>
      </w:r>
      <w:r>
        <w:lastRenderedPageBreak/>
        <w:t xml:space="preserve">estimate supported by </w:t>
      </w:r>
      <w:r w:rsidR="007C1E0F">
        <w:t>(</w:t>
      </w:r>
      <w:r>
        <w:t>1) direct measurement of dry</w:t>
      </w:r>
      <w:r w:rsidR="007C1E0F">
        <w:t>-</w:t>
      </w:r>
      <w:r>
        <w:t xml:space="preserve">weather flow based on the average of a series of observations made at different times of the day; or </w:t>
      </w:r>
      <w:r w:rsidR="007C1E0F">
        <w:t>(</w:t>
      </w:r>
      <w:r>
        <w:t>2) allocatin</w:t>
      </w:r>
      <w:r w:rsidR="007C1E0F">
        <w:t>g</w:t>
      </w:r>
      <w:r>
        <w:t xml:space="preserve"> the dry</w:t>
      </w:r>
      <w:r w:rsidR="007C1E0F">
        <w:t>-</w:t>
      </w:r>
      <w:r>
        <w:t>weather flow reported on the DMR for the WWTP for the entire sewer service area</w:t>
      </w:r>
      <w:r w:rsidR="0023393D">
        <w:t>.</w:t>
      </w:r>
    </w:p>
    <w:p w:rsidR="00E17BF3" w:rsidRDefault="00E17BF3" w:rsidP="005822D8">
      <w:pPr>
        <w:pStyle w:val="BodyText"/>
      </w:pPr>
      <w:r w:rsidRPr="00FA6577">
        <w:rPr>
          <w:rStyle w:val="Bold"/>
        </w:rPr>
        <w:t xml:space="preserve">Line 30- Volume of sewage from non-CSO areas during 24-hour rainfall period (MG). </w:t>
      </w:r>
      <w:r>
        <w:t>The volume of sewage from non-CSO areas during the 24-hour rainfall period is likely to be higher than the average dry</w:t>
      </w:r>
      <w:r w:rsidR="007C1E0F">
        <w:t>-</w:t>
      </w:r>
      <w:r>
        <w:t>weather flow rate (Line 29) because of I/I but less than the peak rate of sewage (Line 22). Typical daily wet</w:t>
      </w:r>
      <w:r w:rsidR="007C1E0F">
        <w:t>-</w:t>
      </w:r>
      <w:r>
        <w:t>weather volumes should be used if measurements are available. Alternatively, an estimate based on the peak rate of sewage (Line 22) and the dry</w:t>
      </w:r>
      <w:r w:rsidR="007C1E0F">
        <w:t>-</w:t>
      </w:r>
      <w:r>
        <w:t>weather flow rate (Line 29) can be used. Under th</w:t>
      </w:r>
      <w:r w:rsidR="007C1E0F">
        <w:t>at</w:t>
      </w:r>
      <w:r>
        <w:t xml:space="preserve"> approach, it is assumed that flow to the WWTP from the non-CSO area over the course of the 24-hour rainfall period has a triangular shape. The volume is calculated by adding one-half the difference between Line 22 and 29 and adding th</w:t>
      </w:r>
      <w:r w:rsidR="007C1E0F">
        <w:t>e</w:t>
      </w:r>
      <w:r>
        <w:t xml:space="preserve"> value to the dry</w:t>
      </w:r>
      <w:r w:rsidR="00B65F21">
        <w:t>-</w:t>
      </w:r>
      <w:r>
        <w:t>weather flow rate. Subtract Line 29 from Line 22, divide by 2, add the remainder to Line 29, and enter this value as a volume in MG on Line 30.</w:t>
      </w:r>
    </w:p>
    <w:p w:rsidR="001E3E5B" w:rsidRDefault="001E3E5B" w:rsidP="005822D8">
      <w:pPr>
        <w:pStyle w:val="BodyText"/>
      </w:pPr>
    </w:p>
    <w:p w:rsidR="00E17BF3" w:rsidRDefault="00E17BF3" w:rsidP="005822D8">
      <w:pPr>
        <w:pStyle w:val="BodyText"/>
      </w:pPr>
      <w:r w:rsidRPr="00FA6577">
        <w:rPr>
          <w:rStyle w:val="Bold"/>
        </w:rPr>
        <w:t>Line 31 – Dry</w:t>
      </w:r>
      <w:r w:rsidR="007C1E0F" w:rsidRPr="00FA6577">
        <w:rPr>
          <w:rStyle w:val="Bold"/>
        </w:rPr>
        <w:t>-</w:t>
      </w:r>
      <w:r w:rsidRPr="00FA6577">
        <w:rPr>
          <w:rStyle w:val="Bold"/>
        </w:rPr>
        <w:t xml:space="preserve">weather flow from the satellite communities (MGD). </w:t>
      </w:r>
      <w:r>
        <w:t>Enter the dry</w:t>
      </w:r>
      <w:r w:rsidR="007C1E0F">
        <w:t>-</w:t>
      </w:r>
      <w:r>
        <w:t xml:space="preserve">weather flow rate from the satellite communities in MGD on </w:t>
      </w:r>
      <w:r>
        <w:t>Line 29. If dry</w:t>
      </w:r>
      <w:r w:rsidR="00B65F21">
        <w:t>-</w:t>
      </w:r>
      <w:r>
        <w:t xml:space="preserve">weather flow for the satellite communities is unknown, develop an estimate supported by </w:t>
      </w:r>
      <w:r w:rsidR="007C1E0F">
        <w:t>(</w:t>
      </w:r>
      <w:r>
        <w:t>1) direct measurement of dry</w:t>
      </w:r>
      <w:r w:rsidR="007C1E0F">
        <w:t>-</w:t>
      </w:r>
      <w:r>
        <w:t xml:space="preserve">weather flow based on the average of a series of observations made at different times of the day; or </w:t>
      </w:r>
      <w:r w:rsidR="007C1E0F">
        <w:t>(</w:t>
      </w:r>
      <w:r>
        <w:t>2) allocatin</w:t>
      </w:r>
      <w:r w:rsidR="007C1E0F">
        <w:t>g</w:t>
      </w:r>
      <w:r>
        <w:t xml:space="preserve"> the dry</w:t>
      </w:r>
      <w:r w:rsidR="007C1E0F">
        <w:t>-</w:t>
      </w:r>
      <w:r>
        <w:t>weather flow reported on the DMR for the WWTP for the entire sewer service area</w:t>
      </w:r>
      <w:r w:rsidR="0023393D">
        <w:t>.</w:t>
      </w:r>
    </w:p>
    <w:p w:rsidR="00E17BF3" w:rsidRDefault="00E17BF3" w:rsidP="005822D8">
      <w:pPr>
        <w:pStyle w:val="BodyText"/>
      </w:pPr>
      <w:r w:rsidRPr="00FA6577">
        <w:rPr>
          <w:rStyle w:val="Bold"/>
        </w:rPr>
        <w:t xml:space="preserve">Line 32- Volume of sewage from satellite communities during 24-hour rainfall period (MG). </w:t>
      </w:r>
      <w:r>
        <w:t xml:space="preserve">The volume of sewage from satellite communities during the 24-hour rainfall period is likely to be higher than the average </w:t>
      </w:r>
      <w:r w:rsidR="007C1E0F">
        <w:t>dry-weather flow</w:t>
      </w:r>
      <w:r>
        <w:t xml:space="preserve"> rate (Line 31) because of I/I, but less than the peak rate of sewage (Line 23). Typical daily wet</w:t>
      </w:r>
      <w:r w:rsidR="007C1E0F">
        <w:t>-</w:t>
      </w:r>
      <w:r>
        <w:t xml:space="preserve">weather volumes should be used if measurements are available. Alternatively, an estimate based on the peak rate of sewage (Line 23) and the </w:t>
      </w:r>
      <w:r w:rsidR="007C1E0F">
        <w:t>dry-weather flow</w:t>
      </w:r>
      <w:r>
        <w:t xml:space="preserve"> rate (Line 31) can be used. Under th</w:t>
      </w:r>
      <w:r w:rsidR="007C1E0F">
        <w:t>at</w:t>
      </w:r>
      <w:r>
        <w:t xml:space="preserve"> approach, it is assumed that flow to the WWTP from the satellite communities over the course of the 24-hour rainfall period has a triangular shape. The volume is calculated by adding one-half the difference between Line 23 and 31 and adding th</w:t>
      </w:r>
      <w:r w:rsidR="00534CA1">
        <w:t>e</w:t>
      </w:r>
      <w:r>
        <w:t xml:space="preserve"> value to the </w:t>
      </w:r>
      <w:r w:rsidR="007C1E0F">
        <w:t>dry-weather flow</w:t>
      </w:r>
      <w:r>
        <w:t xml:space="preserve"> rate. Subtract Line 31 from Line 23, divide by 2, add the remainder to Line 31, and enter this value as a volume in MG on Line 32.</w:t>
      </w:r>
    </w:p>
    <w:p w:rsidR="0062037C" w:rsidRDefault="00E17BF3" w:rsidP="005822D8">
      <w:pPr>
        <w:pStyle w:val="BodyText"/>
        <w:rPr>
          <w:bCs/>
          <w:szCs w:val="20"/>
        </w:rPr>
      </w:pPr>
      <w:r w:rsidRPr="00FA6577">
        <w:rPr>
          <w:rStyle w:val="Bold"/>
        </w:rPr>
        <w:t xml:space="preserve">Line 33 – Total volume of sewage during 24-hour rainfall event (MG). </w:t>
      </w:r>
      <w:r>
        <w:rPr>
          <w:bCs/>
          <w:szCs w:val="20"/>
        </w:rPr>
        <w:t xml:space="preserve">Add Lines </w:t>
      </w:r>
      <w:r>
        <w:rPr>
          <w:bCs/>
          <w:szCs w:val="20"/>
        </w:rPr>
        <w:t>28, 30 and 32 and enter the volume in MG on Line 33</w:t>
      </w:r>
      <w:r w:rsidR="0062037C">
        <w:rPr>
          <w:bCs/>
          <w:szCs w:val="20"/>
        </w:rPr>
        <w:t>.</w:t>
      </w:r>
    </w:p>
    <w:p w:rsidR="005822D8" w:rsidRDefault="00E17BF3" w:rsidP="005822D8">
      <w:pPr>
        <w:pStyle w:val="BodyText"/>
      </w:pPr>
      <w:bookmarkStart w:id="119" w:name="_Toc243809432"/>
      <w:r w:rsidRPr="00A64758">
        <w:rPr>
          <w:rStyle w:val="Bold"/>
        </w:rPr>
        <w:t xml:space="preserve">Line 34 – Volume of combined sewage untreated at WWTP (MG). </w:t>
      </w:r>
      <w:r>
        <w:t>This is also the CSO volume at the WWTP. Enter 0.0 on Line 34 if Line 25 is greater than Line 24. Otherwise, multiply Line 31 by Line 27 and enter the volume in MG on Line 34.</w:t>
      </w:r>
      <w:bookmarkEnd w:id="119"/>
    </w:p>
    <w:p w:rsidR="00E17BF3" w:rsidRDefault="00E17BF3" w:rsidP="005822D8">
      <w:pPr>
        <w:pStyle w:val="Heading2"/>
      </w:pPr>
      <w:bookmarkStart w:id="120" w:name="_Toc127078254"/>
      <w:bookmarkStart w:id="121" w:name="_Toc243725251"/>
      <w:bookmarkStart w:id="122" w:name="_Toc243809433"/>
      <w:bookmarkStart w:id="123" w:name="_Toc285015593"/>
      <w:r>
        <w:t>CSO Volume</w:t>
      </w:r>
      <w:bookmarkEnd w:id="120"/>
      <w:bookmarkEnd w:id="121"/>
      <w:bookmarkEnd w:id="122"/>
      <w:bookmarkEnd w:id="123"/>
    </w:p>
    <w:p w:rsidR="0062037C" w:rsidRDefault="00E17BF3" w:rsidP="005822D8">
      <w:pPr>
        <w:pStyle w:val="BodyText"/>
      </w:pPr>
      <w:r>
        <w:t>The CSO volume that needs to be stored, treated or eliminated is calculated in SCHEDULE 4- CSO Volume. The CSO volumes are identified within individual sub-sewersheds at CSO hydraulic controls and at the WWTP</w:t>
      </w:r>
      <w:r w:rsidR="0062037C">
        <w:t>.</w:t>
      </w:r>
    </w:p>
    <w:p w:rsidR="00E17BF3" w:rsidRDefault="00E17BF3" w:rsidP="005822D8">
      <w:pPr>
        <w:pStyle w:val="BodyText"/>
      </w:pPr>
      <w:r w:rsidRPr="00FA6577">
        <w:rPr>
          <w:rStyle w:val="Bold"/>
        </w:rPr>
        <w:t>Line 35 – Volume of combined sewage overflows at CSO outfalls (MG).</w:t>
      </w:r>
      <w:r>
        <w:t xml:space="preserve"> This represents the volume of excess combined sewage in MG that is discharged at CSO outfalls. Sum all sub-sewershed volumes in MG on Line 16 and enter </w:t>
      </w:r>
      <w:r w:rsidR="00534CA1">
        <w:t xml:space="preserve">the value </w:t>
      </w:r>
      <w:r>
        <w:t>on Line 35.</w:t>
      </w:r>
    </w:p>
    <w:p w:rsidR="00E17BF3" w:rsidRDefault="00E17BF3" w:rsidP="005822D8">
      <w:pPr>
        <w:pStyle w:val="BodyText"/>
      </w:pPr>
      <w:r w:rsidRPr="00FA6577">
        <w:rPr>
          <w:rStyle w:val="Bold"/>
        </w:rPr>
        <w:t>Line 36 – Volume of combined sewage overflow at WWTP (MG).</w:t>
      </w:r>
      <w:r>
        <w:t xml:space="preserve"> This represents the volume of excess combined sewage in MG that is collected and conveyed to the WWTP that does not receive at least primary treatment. Enter the value on Line 34 on Line 36.</w:t>
      </w:r>
    </w:p>
    <w:p w:rsidR="00E17BF3" w:rsidRDefault="00E17BF3">
      <w:pPr>
        <w:rPr>
          <w:rFonts w:cs="Arial"/>
          <w:szCs w:val="20"/>
        </w:rPr>
      </w:pPr>
    </w:p>
    <w:p w:rsidR="00EF0828" w:rsidRDefault="00EF0828">
      <w:pPr>
        <w:rPr>
          <w:rFonts w:cs="Arial"/>
          <w:szCs w:val="20"/>
        </w:rPr>
      </w:pPr>
    </w:p>
    <w:p w:rsidR="00EF0828" w:rsidRDefault="00EF0828">
      <w:pPr>
        <w:rPr>
          <w:rFonts w:cs="Arial"/>
          <w:szCs w:val="20"/>
        </w:rPr>
      </w:pPr>
    </w:p>
    <w:p w:rsidR="00EF0828" w:rsidRDefault="00EF0828">
      <w:pPr>
        <w:rPr>
          <w:rFonts w:cs="Arial"/>
          <w:szCs w:val="20"/>
        </w:rPr>
      </w:pPr>
    </w:p>
    <w:p w:rsidR="00EF0828" w:rsidRDefault="00EF0828">
      <w:pPr>
        <w:rPr>
          <w:rFonts w:cs="Arial"/>
          <w:szCs w:val="20"/>
        </w:rPr>
        <w:sectPr w:rsidR="00EF0828" w:rsidSect="00A20390">
          <w:headerReference w:type="even" r:id="rId53"/>
          <w:footerReference w:type="even" r:id="rId54"/>
          <w:endnotePr>
            <w:numFmt w:val="decimal"/>
            <w:numRestart w:val="eachSect"/>
          </w:endnotePr>
          <w:pgSz w:w="12240" w:h="15840" w:code="1"/>
          <w:pgMar w:top="1440" w:right="1440" w:bottom="1440" w:left="1440" w:header="720" w:footer="720" w:gutter="0"/>
          <w:cols w:num="3" w:space="360"/>
          <w:docGrid w:linePitch="360"/>
        </w:sectPr>
      </w:pPr>
    </w:p>
    <w:p w:rsidR="0077784E" w:rsidRPr="003859D2" w:rsidRDefault="00A730EA" w:rsidP="002709A2">
      <w:pPr>
        <w:pStyle w:val="Heading1"/>
      </w:pPr>
      <w:bookmarkStart w:id="124" w:name="_Toc243725252"/>
      <w:bookmarkStart w:id="125" w:name="_Toc243809434"/>
      <w:bookmarkStart w:id="126" w:name="_Toc285015594"/>
      <w:r w:rsidRPr="003859D2">
        <w:t>Instructions: Schedule</w:t>
      </w:r>
      <w:r w:rsidR="0077784E" w:rsidRPr="003859D2">
        <w:t xml:space="preserve"> 5</w:t>
      </w:r>
      <w:r w:rsidR="00D73D17" w:rsidRPr="003859D2">
        <w:t>A</w:t>
      </w:r>
      <w:r w:rsidR="00C74C05">
        <w:t xml:space="preserve"> – </w:t>
      </w:r>
      <w:r w:rsidR="00D73D17" w:rsidRPr="003859D2">
        <w:t xml:space="preserve">CSO </w:t>
      </w:r>
      <w:r w:rsidRPr="003859D2">
        <w:t xml:space="preserve">Runoff </w:t>
      </w:r>
      <w:r w:rsidR="005D45D1" w:rsidRPr="003859D2">
        <w:t xml:space="preserve">Control </w:t>
      </w:r>
      <w:r w:rsidR="006C1A36">
        <w:br/>
      </w:r>
      <w:r w:rsidR="00D73D17" w:rsidRPr="003859D2">
        <w:t>(</w:t>
      </w:r>
      <w:r w:rsidR="0077784E" w:rsidRPr="003859D2">
        <w:t xml:space="preserve">Green Infrastructure </w:t>
      </w:r>
      <w:r w:rsidR="00D73D17" w:rsidRPr="003859D2">
        <w:t>Runoff</w:t>
      </w:r>
      <w:r w:rsidR="0077784E" w:rsidRPr="003859D2">
        <w:t xml:space="preserve"> Controls</w:t>
      </w:r>
      <w:r w:rsidR="00D73D17" w:rsidRPr="003859D2">
        <w:t>)</w:t>
      </w:r>
      <w:bookmarkEnd w:id="124"/>
      <w:bookmarkEnd w:id="125"/>
      <w:bookmarkEnd w:id="126"/>
    </w:p>
    <w:p w:rsidR="0062037C" w:rsidRDefault="005523DE" w:rsidP="005822D8">
      <w:pPr>
        <w:pStyle w:val="BodyText"/>
      </w:pPr>
      <w:r>
        <w:t xml:space="preserve">The calculation in Schedule 4 </w:t>
      </w:r>
      <w:r w:rsidRPr="005008AF">
        <w:t>–</w:t>
      </w:r>
      <w:r w:rsidRPr="00FA6577">
        <w:rPr>
          <w:rStyle w:val="Bold"/>
        </w:rPr>
        <w:t xml:space="preserve"> </w:t>
      </w:r>
      <w:r>
        <w:t xml:space="preserve">CSO VOLUME quantifies the volume of combined sewage generated by a storm that occurs no more than four times per year (once every </w:t>
      </w:r>
      <w:r w:rsidR="007B3819">
        <w:t xml:space="preserve">3 </w:t>
      </w:r>
      <w:r>
        <w:t>months)</w:t>
      </w:r>
      <w:r w:rsidR="0043213D">
        <w:t xml:space="preserve">. </w:t>
      </w:r>
      <w:r>
        <w:t>Th</w:t>
      </w:r>
      <w:r w:rsidR="007B3819">
        <w:t>at</w:t>
      </w:r>
      <w:r>
        <w:t xml:space="preserve"> is the volume of combined sewage that needs to be stored, treated, or eliminated </w:t>
      </w:r>
      <w:r>
        <w:rPr>
          <w:iCs/>
        </w:rPr>
        <w:t>under</w:t>
      </w:r>
      <w:r w:rsidRPr="005822D8">
        <w:rPr>
          <w:rStyle w:val="italic"/>
        </w:rPr>
        <w:t xml:space="preserve"> </w:t>
      </w:r>
      <w:r>
        <w:t xml:space="preserve">the presumption approach so that there </w:t>
      </w:r>
      <w:r w:rsidR="002E5015">
        <w:t>is no more than an average</w:t>
      </w:r>
      <w:r>
        <w:t xml:space="preserve"> of four overflow events per year</w:t>
      </w:r>
      <w:r w:rsidR="0043213D">
        <w:t xml:space="preserve">. </w:t>
      </w:r>
      <w:r>
        <w:t xml:space="preserve">The calculation leads the permittee to </w:t>
      </w:r>
      <w:r>
        <w:lastRenderedPageBreak/>
        <w:t xml:space="preserve">identify the rate and volume of combined sewage conveyed to the WWTP. It also identifies the rate and volume of combined sewage at sub-sewershed outfalls governed by CSO hydraulic controls. The permittee is expected to develop a simple LTCP based on CSS characterization, the hydraulic response of the CSS to </w:t>
      </w:r>
      <w:r w:rsidR="00233FCB">
        <w:t>precipitation established</w:t>
      </w:r>
      <w:r>
        <w:t xml:space="preserve"> in Schedule 4 </w:t>
      </w:r>
      <w:r w:rsidRPr="007B3819">
        <w:t>–</w:t>
      </w:r>
      <w:r w:rsidRPr="00FA6577">
        <w:rPr>
          <w:rStyle w:val="Bold"/>
        </w:rPr>
        <w:t xml:space="preserve"> </w:t>
      </w:r>
      <w:r>
        <w:t xml:space="preserve">CSO VOLUME, information presented on CSO controls, and an understanding of local conditions and circumstances. Schedules 5A and 5B </w:t>
      </w:r>
      <w:r w:rsidRPr="007B3819">
        <w:t>–</w:t>
      </w:r>
      <w:r w:rsidRPr="00FA6577">
        <w:rPr>
          <w:rStyle w:val="Bold"/>
        </w:rPr>
        <w:t xml:space="preserve"> </w:t>
      </w:r>
      <w:r>
        <w:t>CSO CONTROL provide a simple approach to organize and evaluate control needs, performance, and costs. Small communities can use this schedule iterative</w:t>
      </w:r>
      <w:r w:rsidR="007B3819">
        <w:t>ly</w:t>
      </w:r>
      <w:r>
        <w:t xml:space="preserve"> to identify the mix of CSO controls needed</w:t>
      </w:r>
      <w:r w:rsidR="0062037C">
        <w:t>.</w:t>
      </w:r>
    </w:p>
    <w:p w:rsidR="0077784E" w:rsidRPr="00D807A9" w:rsidRDefault="0077784E" w:rsidP="005822D8">
      <w:pPr>
        <w:pStyle w:val="BodyText"/>
      </w:pPr>
      <w:r w:rsidRPr="00D807A9">
        <w:t>The ca</w:t>
      </w:r>
      <w:r w:rsidR="00D73D17">
        <w:t>lculations in Schedule 5A</w:t>
      </w:r>
      <w:r w:rsidRPr="00D807A9">
        <w:t xml:space="preserve"> </w:t>
      </w:r>
      <w:r w:rsidRPr="005008AF">
        <w:t>–</w:t>
      </w:r>
      <w:r w:rsidRPr="00FA6577">
        <w:rPr>
          <w:rStyle w:val="Bold"/>
        </w:rPr>
        <w:t xml:space="preserve"> </w:t>
      </w:r>
      <w:r>
        <w:t>CSO</w:t>
      </w:r>
      <w:r w:rsidRPr="00D807A9">
        <w:t xml:space="preserve"> </w:t>
      </w:r>
      <w:r w:rsidR="00557A2A">
        <w:t xml:space="preserve">RUNOFF </w:t>
      </w:r>
      <w:r w:rsidRPr="00D807A9">
        <w:t>CONT</w:t>
      </w:r>
      <w:r w:rsidR="00D73D17">
        <w:t>ROL quantify the volume of storm</w:t>
      </w:r>
      <w:r w:rsidRPr="00D807A9">
        <w:t xml:space="preserve">water that can be eliminated </w:t>
      </w:r>
      <w:r w:rsidR="007B3819">
        <w:t>before</w:t>
      </w:r>
      <w:r w:rsidRPr="00D807A9">
        <w:t xml:space="preserve"> collection by u</w:t>
      </w:r>
      <w:r w:rsidR="004F7A66">
        <w:t>s</w:t>
      </w:r>
      <w:r w:rsidRPr="00D807A9">
        <w:t xml:space="preserve">ing </w:t>
      </w:r>
      <w:r w:rsidRPr="005822D8">
        <w:rPr>
          <w:rStyle w:val="italic"/>
        </w:rPr>
        <w:t>green infrastructure</w:t>
      </w:r>
      <w:r w:rsidRPr="00D807A9">
        <w:t xml:space="preserve"> techniques</w:t>
      </w:r>
      <w:r w:rsidR="0043213D">
        <w:t xml:space="preserve">. </w:t>
      </w:r>
      <w:r w:rsidRPr="00D807A9">
        <w:t>Green infrastructure practices are those that use or mimic natural processes to infiltrate, evapotranspire (</w:t>
      </w:r>
      <w:r w:rsidR="00E32832" w:rsidRPr="007B3819">
        <w:rPr>
          <w:iCs/>
        </w:rPr>
        <w:t>i.e.</w:t>
      </w:r>
      <w:r w:rsidR="00E32832" w:rsidRPr="007B3819">
        <w:t xml:space="preserve">, </w:t>
      </w:r>
      <w:r w:rsidRPr="00D807A9">
        <w:t xml:space="preserve">return water to the atmosphere either through evaporation or </w:t>
      </w:r>
      <w:r w:rsidR="007870E2">
        <w:t>through uptake by</w:t>
      </w:r>
      <w:r w:rsidRPr="00D807A9">
        <w:t xml:space="preserve"> plants), or </w:t>
      </w:r>
      <w:r w:rsidR="00D73D17">
        <w:t>store</w:t>
      </w:r>
      <w:r w:rsidRPr="00D807A9">
        <w:t xml:space="preserve"> (</w:t>
      </w:r>
      <w:r w:rsidRPr="007B3819">
        <w:rPr>
          <w:iCs/>
        </w:rPr>
        <w:t>e.g.</w:t>
      </w:r>
      <w:r w:rsidR="007B3819">
        <w:t>,</w:t>
      </w:r>
      <w:r w:rsidRPr="00D807A9">
        <w:t xml:space="preserve"> </w:t>
      </w:r>
      <w:r w:rsidR="007870E2">
        <w:t xml:space="preserve">through </w:t>
      </w:r>
      <w:r w:rsidRPr="00D807A9">
        <w:t xml:space="preserve">rain barrels and cisterns) stormwater or runoff on or near the site where it is generated. </w:t>
      </w:r>
      <w:r w:rsidR="007B3819">
        <w:t xml:space="preserve">Such </w:t>
      </w:r>
      <w:r w:rsidR="00D73D17">
        <w:t>practices reduce storm</w:t>
      </w:r>
      <w:r w:rsidRPr="00D807A9">
        <w:t>water runoff</w:t>
      </w:r>
      <w:r w:rsidR="007870E2">
        <w:t>,</w:t>
      </w:r>
      <w:r w:rsidRPr="00D807A9">
        <w:t xml:space="preserve"> which </w:t>
      </w:r>
      <w:r w:rsidR="007870E2">
        <w:t xml:space="preserve">in turn </w:t>
      </w:r>
      <w:r w:rsidRPr="00D807A9">
        <w:t>minimizes the frequency, duration and volume of CSOs. This schedule is intended to (1) help t</w:t>
      </w:r>
      <w:r w:rsidR="001515A4">
        <w:t xml:space="preserve">he permittee quantify the stormwater </w:t>
      </w:r>
      <w:r w:rsidRPr="00D807A9">
        <w:t>runoff reduction that could be achieved through green infrastructure practices</w:t>
      </w:r>
      <w:r w:rsidR="007870E2">
        <w:t>,</w:t>
      </w:r>
      <w:r w:rsidRPr="00D807A9">
        <w:t xml:space="preserve"> given a </w:t>
      </w:r>
      <w:r w:rsidR="001515A4">
        <w:t>set</w:t>
      </w:r>
      <w:r w:rsidRPr="00D807A9">
        <w:t xml:space="preserve"> </w:t>
      </w:r>
      <w:r w:rsidR="00132F64">
        <w:t xml:space="preserve">runoff </w:t>
      </w:r>
      <w:r w:rsidRPr="00D807A9">
        <w:t>retention standard or goal</w:t>
      </w:r>
      <w:r w:rsidR="007B3819">
        <w:t>,</w:t>
      </w:r>
      <w:r w:rsidRPr="00D807A9">
        <w:t xml:space="preserve"> and (2) help the permittee evaluate the feasibility o</w:t>
      </w:r>
      <w:r>
        <w:t>f</w:t>
      </w:r>
      <w:r w:rsidRPr="00D807A9">
        <w:t xml:space="preserve"> </w:t>
      </w:r>
      <w:r w:rsidR="001515A4">
        <w:t xml:space="preserve">the </w:t>
      </w:r>
      <w:r w:rsidR="00C63184">
        <w:t xml:space="preserve">runoff </w:t>
      </w:r>
      <w:r w:rsidR="001515A4">
        <w:t>retention standard or goal</w:t>
      </w:r>
      <w:r w:rsidRPr="00D807A9">
        <w:t xml:space="preserve"> by estimating the number of green infrastructure </w:t>
      </w:r>
      <w:r w:rsidR="001515A4">
        <w:t xml:space="preserve">runoff </w:t>
      </w:r>
      <w:r w:rsidRPr="00D807A9">
        <w:t xml:space="preserve">controls that would be required to meet the </w:t>
      </w:r>
      <w:r w:rsidR="00132F64">
        <w:t xml:space="preserve">runoff </w:t>
      </w:r>
      <w:r w:rsidR="00132F64" w:rsidRPr="00D807A9">
        <w:t>retention</w:t>
      </w:r>
      <w:r w:rsidR="00132F64" w:rsidDel="00132F64">
        <w:t xml:space="preserve"> </w:t>
      </w:r>
      <w:r w:rsidR="00132F64">
        <w:t xml:space="preserve">standard </w:t>
      </w:r>
      <w:r w:rsidR="007870E2">
        <w:t>or goal</w:t>
      </w:r>
      <w:r w:rsidR="001515A4">
        <w:t>.</w:t>
      </w:r>
    </w:p>
    <w:p w:rsidR="0062037C" w:rsidRPr="005822D8" w:rsidRDefault="001515A4" w:rsidP="005822D8">
      <w:pPr>
        <w:pStyle w:val="Heading2"/>
      </w:pPr>
      <w:bookmarkStart w:id="127" w:name="_Toc285015595"/>
      <w:r w:rsidRPr="005822D8">
        <w:t xml:space="preserve">Runoff Reduction via On-site </w:t>
      </w:r>
      <w:r w:rsidR="00117024" w:rsidRPr="005822D8">
        <w:t xml:space="preserve">Runoff </w:t>
      </w:r>
      <w:r w:rsidRPr="005822D8">
        <w:t xml:space="preserve">Retention </w:t>
      </w:r>
      <w:r w:rsidR="00132F64" w:rsidRPr="005822D8">
        <w:t xml:space="preserve">Standard or </w:t>
      </w:r>
      <w:r w:rsidRPr="005822D8">
        <w:t>Goal</w:t>
      </w:r>
      <w:bookmarkEnd w:id="127"/>
    </w:p>
    <w:p w:rsidR="0077784E" w:rsidRPr="00D807A9" w:rsidRDefault="00430DFB" w:rsidP="005822D8">
      <w:pPr>
        <w:pStyle w:val="BodyText"/>
      </w:pPr>
      <w:r>
        <w:rPr>
          <w:rStyle w:val="Bold"/>
          <w:noProof/>
        </w:rPr>
        <mc:AlternateContent>
          <mc:Choice Requires="wps">
            <w:drawing>
              <wp:anchor distT="0" distB="0" distL="114300" distR="114300" simplePos="0" relativeHeight="251652608" behindDoc="0" locked="0" layoutInCell="1" allowOverlap="1">
                <wp:simplePos x="0" y="0"/>
                <wp:positionH relativeFrom="margin">
                  <wp:align>right</wp:align>
                </wp:positionH>
                <wp:positionV relativeFrom="margin">
                  <wp:posOffset>4871720</wp:posOffset>
                </wp:positionV>
                <wp:extent cx="3200400" cy="2476500"/>
                <wp:effectExtent l="7620" t="8890" r="11430" b="10160"/>
                <wp:wrapSquare wrapText="bothSides"/>
                <wp:docPr id="14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76500"/>
                        </a:xfrm>
                        <a:prstGeom prst="rect">
                          <a:avLst/>
                        </a:prstGeom>
                        <a:solidFill>
                          <a:srgbClr val="FFFFFF"/>
                        </a:solidFill>
                        <a:ln w="9525">
                          <a:solidFill>
                            <a:srgbClr val="000000"/>
                          </a:solidFill>
                          <a:miter lim="800000"/>
                          <a:headEnd/>
                          <a:tailEnd/>
                        </a:ln>
                      </wps:spPr>
                      <wps:txbx>
                        <w:txbxContent>
                          <w:p w:rsidR="00E659D3" w:rsidRPr="0002772A" w:rsidRDefault="00E659D3" w:rsidP="00F02DAF">
                            <w:pPr>
                              <w:pStyle w:val="BoxTitle"/>
                            </w:pPr>
                            <w:r w:rsidRPr="0002772A">
                              <w:t xml:space="preserve">Definition of </w:t>
                            </w:r>
                            <w:r>
                              <w:t>d</w:t>
                            </w:r>
                            <w:r w:rsidRPr="0002772A">
                              <w:t>irectly</w:t>
                            </w:r>
                            <w:r>
                              <w:t xml:space="preserve"> c</w:t>
                            </w:r>
                            <w:r w:rsidRPr="0002772A">
                              <w:t xml:space="preserve">onnected </w:t>
                            </w:r>
                            <w:r>
                              <w:t>i</w:t>
                            </w:r>
                            <w:r w:rsidRPr="0002772A">
                              <w:t xml:space="preserve">mpervious </w:t>
                            </w:r>
                            <w:r>
                              <w:t>a</w:t>
                            </w:r>
                            <w:r w:rsidRPr="0002772A">
                              <w:t>reas</w:t>
                            </w:r>
                          </w:p>
                          <w:p w:rsidR="00E659D3" w:rsidRPr="0002772A" w:rsidRDefault="00E659D3" w:rsidP="00F02DAF">
                            <w:pPr>
                              <w:pStyle w:val="BoxText"/>
                            </w:pPr>
                            <w:r w:rsidRPr="0002772A">
                              <w:t xml:space="preserve">Directly connected impervious areas are those impervious areas that are connected hydraulically to the combined sewer conveyance system without </w:t>
                            </w:r>
                            <w:r>
                              <w:t xml:space="preserve">first </w:t>
                            </w:r>
                            <w:r w:rsidRPr="0002772A">
                              <w:t>flowing over a pervious area. For example, a street with a curb and gutter, where runoff flows into a catch basin and subsequently into the combined sewer system, is considered a directly connected impervious area. A rooftop that drain</w:t>
                            </w:r>
                            <w:r>
                              <w:t>s</w:t>
                            </w:r>
                            <w:r w:rsidRPr="0002772A">
                              <w:t xml:space="preserve"> </w:t>
                            </w:r>
                            <w:r>
                              <w:t xml:space="preserve">directly </w:t>
                            </w:r>
                            <w:r w:rsidRPr="0002772A">
                              <w:t>to this same street would also be considered direct</w:t>
                            </w:r>
                            <w:r>
                              <w:t xml:space="preserve">ly connected. An example of a non-directly connected impervious area would be a parking lot where runoff flows through a grassy pervious area, and most of the water infiltrates into the ground. </w:t>
                            </w:r>
                            <w:r w:rsidRPr="0002772A">
                              <w:t xml:space="preserve">Schedule 5A considers only the management of directly connected impervious areas, </w:t>
                            </w:r>
                            <w:r>
                              <w:t>because</w:t>
                            </w:r>
                            <w:r w:rsidRPr="0002772A">
                              <w:t xml:space="preserve"> th</w:t>
                            </w:r>
                            <w:r>
                              <w:t>o</w:t>
                            </w:r>
                            <w:r w:rsidRPr="0002772A">
                              <w:t xml:space="preserve">se are the impervious areas that are </w:t>
                            </w:r>
                            <w:r>
                              <w:t>the most significant contributors of runoff to the combined sewer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1" type="#_x0000_t202" style="position:absolute;margin-left:200.8pt;margin-top:383.6pt;width:252pt;height:195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">
                <v:textbox>
                  <w:txbxContent>
                    <w:p w:rsidR="00E659D3" w:rsidRPr="0002772A" w:rsidRDefault="00E659D3" w:rsidP="00F02DAF">
                      <w:pPr>
                        <w:pStyle w:val="BoxTitle"/>
                      </w:pPr>
                      <w:r w:rsidRPr="0002772A">
                        <w:t xml:space="preserve">Definition of </w:t>
                      </w:r>
                      <w:r>
                        <w:t>d</w:t>
                      </w:r>
                      <w:r w:rsidRPr="0002772A">
                        <w:t>irectly</w:t>
                      </w:r>
                      <w:r>
                        <w:t xml:space="preserve"> c</w:t>
                      </w:r>
                      <w:r w:rsidRPr="0002772A">
                        <w:t xml:space="preserve">onnected </w:t>
                      </w:r>
                      <w:r>
                        <w:t>i</w:t>
                      </w:r>
                      <w:r w:rsidRPr="0002772A">
                        <w:t xml:space="preserve">mpervious </w:t>
                      </w:r>
                      <w:r>
                        <w:t>a</w:t>
                      </w:r>
                      <w:r w:rsidRPr="0002772A">
                        <w:t>reas</w:t>
                      </w:r>
                    </w:p>
                    <w:p w:rsidR="00E659D3" w:rsidRPr="0002772A" w:rsidRDefault="00E659D3" w:rsidP="00F02DAF">
                      <w:pPr>
                        <w:pStyle w:val="BoxText"/>
                      </w:pPr>
                      <w:r w:rsidRPr="0002772A">
                        <w:t xml:space="preserve">Directly connected impervious areas are those impervious areas that are connected hydraulically to the combined sewer conveyance system without </w:t>
                      </w:r>
                      <w:r>
                        <w:t xml:space="preserve">first </w:t>
                      </w:r>
                      <w:r w:rsidRPr="0002772A">
                        <w:t>flowing over a pervious area. For example, a street with a curb and gutter, where runoff flows into a catch basin and subsequently into the combined sewer system, is considered a directly connected impervious area. A rooftop that drain</w:t>
                      </w:r>
                      <w:r>
                        <w:t>s</w:t>
                      </w:r>
                      <w:r w:rsidRPr="0002772A">
                        <w:t xml:space="preserve"> </w:t>
                      </w:r>
                      <w:r>
                        <w:t xml:space="preserve">directly </w:t>
                      </w:r>
                      <w:r w:rsidRPr="0002772A">
                        <w:t>to this same street would also be considered direct</w:t>
                      </w:r>
                      <w:r>
                        <w:t xml:space="preserve">ly connected. An example of a non-directly connected impervious area would be a parking lot where runoff flows through a grassy pervious area, and most of the water infiltrates into the ground. </w:t>
                      </w:r>
                      <w:r w:rsidRPr="0002772A">
                        <w:t xml:space="preserve">Schedule 5A considers only the management of directly connected impervious areas, </w:t>
                      </w:r>
                      <w:r>
                        <w:t>because</w:t>
                      </w:r>
                      <w:r w:rsidRPr="0002772A">
                        <w:t xml:space="preserve"> th</w:t>
                      </w:r>
                      <w:r>
                        <w:t>o</w:t>
                      </w:r>
                      <w:r w:rsidRPr="0002772A">
                        <w:t xml:space="preserve">se are the impervious areas that are </w:t>
                      </w:r>
                      <w:r>
                        <w:t>the most significant contributors of runoff to the combined sewer system.</w:t>
                      </w:r>
                    </w:p>
                  </w:txbxContent>
                </v:textbox>
                <w10:wrap type="square" anchorx="margin" anchory="margin"/>
              </v:shape>
            </w:pict>
          </mc:Fallback>
        </mc:AlternateContent>
      </w:r>
      <w:r w:rsidR="003A46BD">
        <w:t>To</w:t>
      </w:r>
      <w:r w:rsidR="0077784E" w:rsidRPr="00D807A9">
        <w:t xml:space="preserve"> determine how much runoff reduction a permittee can expect from incorporating green infrastructure practices</w:t>
      </w:r>
      <w:r w:rsidR="003A46BD">
        <w:t xml:space="preserve">, </w:t>
      </w:r>
      <w:r w:rsidR="00D73D17">
        <w:t>Schedule 5A u</w:t>
      </w:r>
      <w:r w:rsidR="007B3819">
        <w:t>s</w:t>
      </w:r>
      <w:r w:rsidR="00D73D17">
        <w:t xml:space="preserve">es a runoff retention </w:t>
      </w:r>
      <w:r w:rsidR="00117024">
        <w:t xml:space="preserve">standard or </w:t>
      </w:r>
      <w:r w:rsidR="00D73D17">
        <w:t>goal that can be associated with managed</w:t>
      </w:r>
      <w:r w:rsidR="00ED1BC1">
        <w:t>,</w:t>
      </w:r>
      <w:r w:rsidR="00D73D17">
        <w:t xml:space="preserve"> </w:t>
      </w:r>
      <w:r w:rsidR="00DB68A9">
        <w:t>directly</w:t>
      </w:r>
      <w:r w:rsidR="005B40DF">
        <w:t xml:space="preserve"> </w:t>
      </w:r>
      <w:r w:rsidR="00DB68A9">
        <w:t xml:space="preserve">connected </w:t>
      </w:r>
      <w:r w:rsidR="00D73D17">
        <w:t>impervious areas</w:t>
      </w:r>
      <w:r w:rsidR="00DB68A9">
        <w:t xml:space="preserve"> (see </w:t>
      </w:r>
      <w:r w:rsidR="00ED1BC1">
        <w:t xml:space="preserve">the </w:t>
      </w:r>
      <w:r w:rsidR="00DB68A9">
        <w:t>definition</w:t>
      </w:r>
      <w:r w:rsidR="00ED1BC1">
        <w:t xml:space="preserve"> to the right</w:t>
      </w:r>
      <w:r w:rsidR="00DB68A9">
        <w:t>)</w:t>
      </w:r>
      <w:r w:rsidR="0077784E" w:rsidRPr="00D807A9">
        <w:t xml:space="preserve">. Many municipalities are beginning to mandate on-site </w:t>
      </w:r>
      <w:r w:rsidR="005D45D1">
        <w:t>runoff retention</w:t>
      </w:r>
      <w:r w:rsidR="0077784E" w:rsidRPr="00D807A9">
        <w:t xml:space="preserve"> standards (</w:t>
      </w:r>
      <w:bookmarkStart w:id="128" w:name="OLE_LINK16"/>
      <w:bookmarkStart w:id="129" w:name="OLE_LINK17"/>
      <w:r w:rsidR="0077784E" w:rsidRPr="00D807A9">
        <w:t>e.g.</w:t>
      </w:r>
      <w:bookmarkEnd w:id="128"/>
      <w:bookmarkEnd w:id="129"/>
      <w:r w:rsidR="007B3819">
        <w:t>,</w:t>
      </w:r>
      <w:r w:rsidR="0077784E" w:rsidRPr="00D807A9">
        <w:t xml:space="preserve"> retain first one-inch of rainfall) for all</w:t>
      </w:r>
      <w:r w:rsidR="00E8454D">
        <w:t xml:space="preserve"> new</w:t>
      </w:r>
      <w:r w:rsidR="0077784E" w:rsidRPr="00D807A9">
        <w:t xml:space="preserve"> development or redevelopment that exceeds a certain size</w:t>
      </w:r>
      <w:r w:rsidR="0043213D">
        <w:t xml:space="preserve">. </w:t>
      </w:r>
      <w:r w:rsidR="00C63184">
        <w:t xml:space="preserve">If a specific codified </w:t>
      </w:r>
      <w:r w:rsidR="00C52A4F">
        <w:t>runoff retention</w:t>
      </w:r>
      <w:r w:rsidR="00C63184">
        <w:t xml:space="preserve"> standard does not exist, the permittee could</w:t>
      </w:r>
      <w:r w:rsidR="00D73D17">
        <w:t xml:space="preserve"> </w:t>
      </w:r>
      <w:r w:rsidR="00117024">
        <w:t xml:space="preserve">use a runoff retention </w:t>
      </w:r>
      <w:r w:rsidR="00D73D17">
        <w:t xml:space="preserve">goal that the permittee will enforce or otherwise encourage </w:t>
      </w:r>
      <w:r w:rsidR="00117024">
        <w:t>landowners to meet</w:t>
      </w:r>
      <w:r w:rsidR="0043213D">
        <w:t xml:space="preserve">. </w:t>
      </w:r>
      <w:r w:rsidR="0077784E" w:rsidRPr="00D807A9">
        <w:t xml:space="preserve">Assuming that this </w:t>
      </w:r>
      <w:r w:rsidR="00117024">
        <w:t xml:space="preserve">runoff </w:t>
      </w:r>
      <w:r w:rsidR="0077784E" w:rsidRPr="00D807A9">
        <w:t xml:space="preserve">retention standard or goal is met within a planning horizon, the following formula can be used to calculate the runoff reduction </w:t>
      </w:r>
      <w:r w:rsidR="005D45D1" w:rsidRPr="00D807A9">
        <w:t>volume</w:t>
      </w:r>
      <w:r w:rsidR="005D45D1">
        <w:t xml:space="preserve"> achieved</w:t>
      </w:r>
      <w:r w:rsidR="001B6BEB">
        <w:t xml:space="preserve"> through implement</w:t>
      </w:r>
      <w:r w:rsidR="00117024">
        <w:t>ation</w:t>
      </w:r>
      <w:r w:rsidR="0077784E" w:rsidRPr="00D807A9">
        <w:t>:</w:t>
      </w:r>
    </w:p>
    <w:p w:rsidR="0077784E" w:rsidRPr="005008AF" w:rsidRDefault="004604A6" w:rsidP="004604A6">
      <w:pPr>
        <w:rPr>
          <w:rFonts w:cs="Arial"/>
          <w:szCs w:val="20"/>
        </w:rPr>
      </w:pPr>
      <w:r w:rsidRPr="00FA6577">
        <w:rPr>
          <w:rStyle w:val="Bold"/>
        </w:rPr>
        <w:tab/>
      </w:r>
      <w:r w:rsidRPr="005008AF">
        <w:rPr>
          <w:rFonts w:cs="Arial"/>
          <w:i/>
          <w:szCs w:val="20"/>
        </w:rPr>
        <w:t>V</w:t>
      </w:r>
      <w:r w:rsidRPr="005008AF">
        <w:rPr>
          <w:rFonts w:cs="Arial"/>
          <w:szCs w:val="20"/>
        </w:rPr>
        <w:t xml:space="preserve"> = </w:t>
      </w:r>
      <w:r w:rsidR="0077784E" w:rsidRPr="005008AF">
        <w:rPr>
          <w:rFonts w:cs="Arial"/>
          <w:i/>
          <w:szCs w:val="20"/>
        </w:rPr>
        <w:t>k</w:t>
      </w:r>
      <w:r w:rsidRPr="005008AF">
        <w:rPr>
          <w:rFonts w:cs="Arial"/>
          <w:i/>
          <w:szCs w:val="20"/>
        </w:rPr>
        <w:t>A</w:t>
      </w:r>
      <w:r w:rsidR="0077784E" w:rsidRPr="005008AF">
        <w:rPr>
          <w:rFonts w:cs="Arial"/>
          <w:i/>
          <w:szCs w:val="20"/>
        </w:rPr>
        <w:t>P</w:t>
      </w:r>
      <w:r w:rsidRPr="005008AF">
        <w:rPr>
          <w:rFonts w:cs="Arial"/>
          <w:i/>
          <w:szCs w:val="20"/>
        </w:rPr>
        <w:t>R</w:t>
      </w:r>
      <w:r w:rsidR="0077784E" w:rsidRPr="005008AF">
        <w:rPr>
          <w:rFonts w:cs="Arial"/>
          <w:i/>
          <w:szCs w:val="20"/>
          <w:vertAlign w:val="subscript"/>
        </w:rPr>
        <w:t>v</w:t>
      </w:r>
    </w:p>
    <w:p w:rsidR="0062037C" w:rsidRDefault="0077784E" w:rsidP="005822D8">
      <w:pPr>
        <w:pStyle w:val="BodyText"/>
      </w:pPr>
      <w:r w:rsidRPr="00D807A9">
        <w:t>where</w:t>
      </w:r>
    </w:p>
    <w:p w:rsidR="0077784E" w:rsidRPr="00D807A9" w:rsidRDefault="0077784E" w:rsidP="0077784E">
      <w:pPr>
        <w:rPr>
          <w:rFonts w:cs="Arial"/>
          <w:szCs w:val="20"/>
        </w:rPr>
      </w:pPr>
      <w:r w:rsidRPr="00D807A9">
        <w:rPr>
          <w:rFonts w:cs="Arial"/>
          <w:szCs w:val="20"/>
        </w:rPr>
        <w:tab/>
      </w:r>
      <w:r w:rsidRPr="005008AF">
        <w:rPr>
          <w:rFonts w:cs="Arial"/>
          <w:i/>
          <w:szCs w:val="20"/>
        </w:rPr>
        <w:t>V</w:t>
      </w:r>
      <w:r w:rsidRPr="00D807A9">
        <w:rPr>
          <w:rFonts w:cs="Arial"/>
          <w:szCs w:val="20"/>
        </w:rPr>
        <w:t xml:space="preserve"> = runoff reduction volume (gallons or million gallons [MG])</w:t>
      </w:r>
    </w:p>
    <w:p w:rsidR="0077784E" w:rsidRPr="00D807A9" w:rsidRDefault="0077784E" w:rsidP="0077784E">
      <w:pPr>
        <w:rPr>
          <w:rFonts w:cs="Arial"/>
          <w:szCs w:val="20"/>
        </w:rPr>
      </w:pPr>
      <w:r w:rsidRPr="00D807A9">
        <w:rPr>
          <w:rFonts w:cs="Arial"/>
          <w:szCs w:val="20"/>
        </w:rPr>
        <w:tab/>
      </w:r>
      <w:r w:rsidRPr="005008AF">
        <w:rPr>
          <w:rFonts w:cs="Arial"/>
          <w:i/>
          <w:szCs w:val="20"/>
        </w:rPr>
        <w:t>k</w:t>
      </w:r>
      <w:r w:rsidRPr="00D807A9">
        <w:rPr>
          <w:rFonts w:cs="Arial"/>
          <w:szCs w:val="20"/>
        </w:rPr>
        <w:t xml:space="preserve"> = unit conversion factor</w:t>
      </w:r>
    </w:p>
    <w:p w:rsidR="0077784E" w:rsidRPr="00D807A9" w:rsidRDefault="0077784E" w:rsidP="004604A6">
      <w:pPr>
        <w:rPr>
          <w:rFonts w:cs="Arial"/>
          <w:szCs w:val="20"/>
        </w:rPr>
      </w:pPr>
      <w:r w:rsidRPr="00D807A9">
        <w:rPr>
          <w:rFonts w:cs="Arial"/>
          <w:szCs w:val="20"/>
        </w:rPr>
        <w:tab/>
      </w:r>
      <w:r w:rsidRPr="005008AF">
        <w:rPr>
          <w:rFonts w:cs="Arial"/>
          <w:i/>
          <w:szCs w:val="20"/>
        </w:rPr>
        <w:t>A</w:t>
      </w:r>
      <w:r w:rsidRPr="00D807A9">
        <w:rPr>
          <w:rFonts w:cs="Arial"/>
          <w:szCs w:val="20"/>
        </w:rPr>
        <w:t xml:space="preserve"> = area of </w:t>
      </w:r>
      <w:r w:rsidR="00DB68A9">
        <w:rPr>
          <w:rFonts w:cs="Arial"/>
          <w:szCs w:val="20"/>
        </w:rPr>
        <w:t>directly</w:t>
      </w:r>
      <w:r w:rsidR="005B40DF">
        <w:rPr>
          <w:rFonts w:cs="Arial"/>
          <w:szCs w:val="20"/>
        </w:rPr>
        <w:t xml:space="preserve"> </w:t>
      </w:r>
      <w:r w:rsidR="00DB68A9">
        <w:rPr>
          <w:rFonts w:cs="Arial"/>
          <w:szCs w:val="20"/>
        </w:rPr>
        <w:t>connected</w:t>
      </w:r>
      <w:r w:rsidR="00DB68A9" w:rsidRPr="00D807A9">
        <w:rPr>
          <w:rFonts w:cs="Arial"/>
          <w:szCs w:val="20"/>
        </w:rPr>
        <w:t xml:space="preserve"> </w:t>
      </w:r>
      <w:r w:rsidRPr="00D807A9">
        <w:rPr>
          <w:rFonts w:cs="Arial"/>
          <w:szCs w:val="20"/>
        </w:rPr>
        <w:t>impervious surface managed (acres)</w:t>
      </w:r>
    </w:p>
    <w:p w:rsidR="0077784E" w:rsidRPr="00D807A9" w:rsidRDefault="0077784E" w:rsidP="0077784E">
      <w:pPr>
        <w:rPr>
          <w:rFonts w:cs="Arial"/>
          <w:szCs w:val="20"/>
        </w:rPr>
      </w:pPr>
      <w:r w:rsidRPr="00D807A9">
        <w:rPr>
          <w:rFonts w:cs="Arial"/>
          <w:szCs w:val="20"/>
        </w:rPr>
        <w:tab/>
      </w:r>
      <w:r w:rsidRPr="005008AF">
        <w:rPr>
          <w:rFonts w:cs="Arial"/>
          <w:i/>
          <w:szCs w:val="20"/>
        </w:rPr>
        <w:t>P</w:t>
      </w:r>
      <w:r w:rsidRPr="00D807A9">
        <w:rPr>
          <w:rFonts w:cs="Arial"/>
          <w:szCs w:val="20"/>
        </w:rPr>
        <w:t xml:space="preserve"> = depth of retention standard </w:t>
      </w:r>
      <w:r w:rsidR="00D73D17">
        <w:rPr>
          <w:rFonts w:cs="Arial"/>
          <w:szCs w:val="20"/>
        </w:rPr>
        <w:t xml:space="preserve">or goal </w:t>
      </w:r>
      <w:r w:rsidRPr="00D807A9">
        <w:rPr>
          <w:rFonts w:cs="Arial"/>
          <w:szCs w:val="20"/>
        </w:rPr>
        <w:t>(inches)</w:t>
      </w:r>
    </w:p>
    <w:p w:rsidR="0077784E" w:rsidRPr="00D807A9" w:rsidRDefault="0077784E" w:rsidP="0077784E">
      <w:pPr>
        <w:ind w:firstLine="720"/>
        <w:rPr>
          <w:rFonts w:cs="Arial"/>
          <w:szCs w:val="20"/>
        </w:rPr>
      </w:pPr>
      <w:r w:rsidRPr="005008AF">
        <w:rPr>
          <w:rFonts w:cs="Arial"/>
          <w:i/>
          <w:szCs w:val="20"/>
        </w:rPr>
        <w:t>R</w:t>
      </w:r>
      <w:r w:rsidRPr="005008AF">
        <w:rPr>
          <w:rFonts w:cs="Arial"/>
          <w:i/>
          <w:szCs w:val="20"/>
          <w:vertAlign w:val="subscript"/>
        </w:rPr>
        <w:t>v</w:t>
      </w:r>
      <w:r w:rsidRPr="00D807A9">
        <w:rPr>
          <w:rFonts w:cs="Arial"/>
          <w:szCs w:val="20"/>
        </w:rPr>
        <w:t xml:space="preserve"> = volumetric runoff coefficient (default is 0.95)</w:t>
      </w:r>
    </w:p>
    <w:p w:rsidR="0062037C" w:rsidRPr="00313BAF" w:rsidRDefault="00DB68A9" w:rsidP="00313BAF">
      <w:pPr>
        <w:pStyle w:val="Heading2"/>
      </w:pPr>
      <w:r w:rsidRPr="00FA6577">
        <w:rPr>
          <w:rStyle w:val="Bold"/>
        </w:rPr>
        <w:br w:type="page"/>
      </w:r>
      <w:bookmarkStart w:id="130" w:name="_Toc285015596"/>
      <w:r w:rsidR="001515A4" w:rsidRPr="00313BAF">
        <w:lastRenderedPageBreak/>
        <w:t>Runoff Reduction via Specific Green Infrastructure Practices</w:t>
      </w:r>
      <w:bookmarkEnd w:id="130"/>
    </w:p>
    <w:p w:rsidR="0062037C" w:rsidRDefault="0077784E" w:rsidP="005822D8">
      <w:pPr>
        <w:pStyle w:val="BodyText"/>
      </w:pPr>
      <w:r w:rsidRPr="00D807A9">
        <w:t>To aid in planning, Schedule 5</w:t>
      </w:r>
      <w:r w:rsidR="00E32832">
        <w:t>A</w:t>
      </w:r>
      <w:r w:rsidRPr="00D807A9">
        <w:t xml:space="preserve"> also provides for the estimation of the number of green infrastructure practices that </w:t>
      </w:r>
      <w:r w:rsidR="00807E3E">
        <w:t>c</w:t>
      </w:r>
      <w:r w:rsidRPr="00D807A9">
        <w:t xml:space="preserve">ould be </w:t>
      </w:r>
      <w:r w:rsidR="00807E3E">
        <w:t>used</w:t>
      </w:r>
      <w:r w:rsidRPr="00D807A9">
        <w:t xml:space="preserve"> to meet the runoff reduction </w:t>
      </w:r>
      <w:r w:rsidR="00117024">
        <w:t xml:space="preserve">standard or goal </w:t>
      </w:r>
      <w:r w:rsidRPr="00D807A9">
        <w:t>(note that th</w:t>
      </w:r>
      <w:r w:rsidR="00B107B8">
        <w:t xml:space="preserve">e </w:t>
      </w:r>
      <w:r w:rsidR="00ED1BC1">
        <w:t>s</w:t>
      </w:r>
      <w:r w:rsidR="00B107B8">
        <w:t>chedule</w:t>
      </w:r>
      <w:r w:rsidRPr="00D807A9">
        <w:t xml:space="preserve"> estimate</w:t>
      </w:r>
      <w:r w:rsidR="00D73D17">
        <w:t>s</w:t>
      </w:r>
      <w:r w:rsidRPr="00D807A9">
        <w:t xml:space="preserve"> the number of practices</w:t>
      </w:r>
      <w:r w:rsidR="00B107B8">
        <w:t xml:space="preserve"> that will be required to achieve the goal/standard</w:t>
      </w:r>
      <w:r w:rsidRPr="00D807A9">
        <w:t xml:space="preserve">, but </w:t>
      </w:r>
      <w:r w:rsidR="00B107B8">
        <w:t xml:space="preserve">it </w:t>
      </w:r>
      <w:r w:rsidRPr="00D807A9">
        <w:t>does not assess the capacity of the landscape to accommodate those practices)</w:t>
      </w:r>
      <w:r w:rsidR="0043213D">
        <w:t xml:space="preserve">. </w:t>
      </w:r>
      <w:r w:rsidRPr="00D807A9">
        <w:t xml:space="preserve">This </w:t>
      </w:r>
      <w:r w:rsidR="00B107B8">
        <w:t xml:space="preserve">part of the </w:t>
      </w:r>
      <w:r w:rsidR="00ED1BC1">
        <w:t>s</w:t>
      </w:r>
      <w:r w:rsidR="00B107B8">
        <w:t xml:space="preserve">chedule </w:t>
      </w:r>
      <w:r w:rsidRPr="00D807A9">
        <w:t>serve</w:t>
      </w:r>
      <w:r w:rsidR="00B107B8">
        <w:t>s</w:t>
      </w:r>
      <w:r w:rsidRPr="00D807A9">
        <w:t xml:space="preserve"> as a quality control measure to assess the feasibility of </w:t>
      </w:r>
      <w:r w:rsidR="001515A4">
        <w:t xml:space="preserve">the </w:t>
      </w:r>
      <w:r w:rsidR="00117024">
        <w:t xml:space="preserve">runoff </w:t>
      </w:r>
      <w:r w:rsidR="001515A4">
        <w:t xml:space="preserve">retention </w:t>
      </w:r>
      <w:r w:rsidR="00117024">
        <w:t xml:space="preserve">standard or </w:t>
      </w:r>
      <w:r w:rsidR="001515A4">
        <w:t>goal</w:t>
      </w:r>
      <w:r w:rsidRPr="00D807A9">
        <w:t xml:space="preserve">. While the true evaluation of volumetric reductions achieved </w:t>
      </w:r>
      <w:r w:rsidR="00ED1BC1">
        <w:t>by using</w:t>
      </w:r>
      <w:r w:rsidRPr="00D807A9">
        <w:t xml:space="preserve"> different green infrastructure practices will be highly dependent on local conditions</w:t>
      </w:r>
      <w:r w:rsidR="005F092A">
        <w:t xml:space="preserve"> and</w:t>
      </w:r>
      <w:r w:rsidRPr="00D807A9">
        <w:t xml:space="preserve"> sizing and design considerations, </w:t>
      </w:r>
      <w:r w:rsidR="005939DE">
        <w:t xml:space="preserve">Green </w:t>
      </w:r>
      <w:r w:rsidR="00B107B8">
        <w:t xml:space="preserve">LTCP-EZ uses </w:t>
      </w:r>
      <w:r w:rsidRPr="00D807A9">
        <w:t xml:space="preserve">a simplified approach </w:t>
      </w:r>
      <w:r w:rsidR="00B107B8">
        <w:t xml:space="preserve">that includes </w:t>
      </w:r>
      <w:r w:rsidR="007B3819">
        <w:t>us</w:t>
      </w:r>
      <w:r w:rsidRPr="00D807A9">
        <w:t>ing practice specific volumetric reduction rates</w:t>
      </w:r>
      <w:r w:rsidR="00117024">
        <w:t xml:space="preserve"> </w:t>
      </w:r>
      <w:r w:rsidR="00B107B8">
        <w:t>to provide an estimate of the volumetric reductions that can be achieved through implementation of green practices</w:t>
      </w:r>
      <w:r w:rsidR="0043213D">
        <w:t xml:space="preserve">. </w:t>
      </w:r>
      <w:r w:rsidR="00807E3E">
        <w:t>Before making a final selection on the approach to control overflows, the permittee needs to ensure that the green i</w:t>
      </w:r>
      <w:r w:rsidR="00EA284F">
        <w:t>n</w:t>
      </w:r>
      <w:r w:rsidR="00807E3E">
        <w:t xml:space="preserve">frastructure practices are suitable for the landscapes. </w:t>
      </w:r>
      <w:r w:rsidRPr="00D807A9">
        <w:t xml:space="preserve">The volume of runoff reduction achieved for each practice category will be calculated using </w:t>
      </w:r>
      <w:r w:rsidR="004604A6">
        <w:t xml:space="preserve">a variation of </w:t>
      </w:r>
      <w:r w:rsidRPr="00D807A9">
        <w:t>the following equation:</w:t>
      </w:r>
    </w:p>
    <w:p w:rsidR="0077784E" w:rsidRPr="00D807A9" w:rsidRDefault="0077784E" w:rsidP="0077784E">
      <w:pPr>
        <w:rPr>
          <w:rFonts w:cs="Arial"/>
          <w:szCs w:val="20"/>
        </w:rPr>
      </w:pPr>
    </w:p>
    <w:p w:rsidR="0077784E" w:rsidRPr="007B3819" w:rsidRDefault="0077784E" w:rsidP="004604A6">
      <w:pPr>
        <w:ind w:firstLine="720"/>
        <w:rPr>
          <w:rFonts w:cs="Arial"/>
          <w:szCs w:val="20"/>
        </w:rPr>
      </w:pPr>
      <w:r w:rsidRPr="007B3819">
        <w:rPr>
          <w:rFonts w:cs="Arial"/>
          <w:i/>
          <w:szCs w:val="20"/>
        </w:rPr>
        <w:t>V</w:t>
      </w:r>
      <w:r w:rsidRPr="007B3819">
        <w:rPr>
          <w:rFonts w:cs="Arial"/>
          <w:szCs w:val="20"/>
        </w:rPr>
        <w:t xml:space="preserve"> = </w:t>
      </w:r>
      <w:r w:rsidRPr="007B3819">
        <w:rPr>
          <w:rFonts w:cs="Arial"/>
          <w:i/>
          <w:szCs w:val="20"/>
        </w:rPr>
        <w:t>kAP</w:t>
      </w:r>
      <w:r w:rsidRPr="007B3819">
        <w:rPr>
          <w:rFonts w:cs="Arial"/>
          <w:szCs w:val="20"/>
          <w:vertAlign w:val="subscript"/>
        </w:rPr>
        <w:t>24</w:t>
      </w:r>
      <w:r w:rsidR="004604A6" w:rsidRPr="007B3819">
        <w:rPr>
          <w:rFonts w:cs="Arial"/>
          <w:i/>
          <w:szCs w:val="20"/>
        </w:rPr>
        <w:t>RR</w:t>
      </w:r>
    </w:p>
    <w:p w:rsidR="0062037C" w:rsidRDefault="007B3819" w:rsidP="005822D8">
      <w:pPr>
        <w:pStyle w:val="BodyText"/>
      </w:pPr>
      <w:r>
        <w:t>w</w:t>
      </w:r>
      <w:r w:rsidR="002E5015" w:rsidRPr="00D807A9">
        <w:t>here</w:t>
      </w:r>
    </w:p>
    <w:p w:rsidR="0077784E" w:rsidRPr="00D807A9" w:rsidRDefault="0077784E" w:rsidP="0077784E">
      <w:pPr>
        <w:rPr>
          <w:rFonts w:cs="Arial"/>
          <w:szCs w:val="20"/>
        </w:rPr>
      </w:pPr>
      <w:r w:rsidRPr="00D807A9">
        <w:rPr>
          <w:rFonts w:cs="Arial"/>
          <w:szCs w:val="20"/>
        </w:rPr>
        <w:tab/>
      </w:r>
      <w:r w:rsidRPr="007B3819">
        <w:rPr>
          <w:rFonts w:cs="Arial"/>
          <w:i/>
          <w:szCs w:val="20"/>
        </w:rPr>
        <w:t>V</w:t>
      </w:r>
      <w:r w:rsidRPr="00D807A9">
        <w:rPr>
          <w:rFonts w:cs="Arial"/>
          <w:szCs w:val="20"/>
        </w:rPr>
        <w:t xml:space="preserve"> = runoff reduction volume (gallons or million gallons [MG])</w:t>
      </w:r>
    </w:p>
    <w:p w:rsidR="0077784E" w:rsidRPr="00D807A9" w:rsidRDefault="0077784E" w:rsidP="0077784E">
      <w:pPr>
        <w:rPr>
          <w:rFonts w:cs="Arial"/>
          <w:szCs w:val="20"/>
        </w:rPr>
      </w:pPr>
      <w:r w:rsidRPr="00D807A9">
        <w:rPr>
          <w:rFonts w:cs="Arial"/>
          <w:szCs w:val="20"/>
        </w:rPr>
        <w:tab/>
      </w:r>
      <w:r w:rsidRPr="007B3819">
        <w:rPr>
          <w:rFonts w:cs="Arial"/>
          <w:i/>
          <w:szCs w:val="20"/>
        </w:rPr>
        <w:t>k</w:t>
      </w:r>
      <w:r w:rsidRPr="00D807A9">
        <w:rPr>
          <w:rFonts w:cs="Arial"/>
          <w:szCs w:val="20"/>
        </w:rPr>
        <w:t xml:space="preserve"> = unit conversion factor</w:t>
      </w:r>
    </w:p>
    <w:p w:rsidR="0077784E" w:rsidRPr="00D807A9" w:rsidRDefault="0077784E" w:rsidP="00B12B84">
      <w:pPr>
        <w:rPr>
          <w:rFonts w:cs="Arial"/>
          <w:szCs w:val="20"/>
        </w:rPr>
      </w:pPr>
      <w:r w:rsidRPr="00D807A9">
        <w:rPr>
          <w:rFonts w:cs="Arial"/>
          <w:szCs w:val="20"/>
        </w:rPr>
        <w:tab/>
      </w:r>
      <w:r w:rsidRPr="007B3819">
        <w:rPr>
          <w:rFonts w:cs="Arial"/>
          <w:i/>
          <w:szCs w:val="20"/>
        </w:rPr>
        <w:t>A</w:t>
      </w:r>
      <w:r w:rsidRPr="00D807A9">
        <w:rPr>
          <w:rFonts w:cs="Arial"/>
          <w:szCs w:val="20"/>
        </w:rPr>
        <w:t xml:space="preserve"> = area of impervious surface managed (acres)</w:t>
      </w:r>
    </w:p>
    <w:p w:rsidR="0077784E" w:rsidRPr="00D807A9" w:rsidRDefault="0077784E" w:rsidP="0077784E">
      <w:pPr>
        <w:rPr>
          <w:rFonts w:cs="Arial"/>
          <w:szCs w:val="20"/>
        </w:rPr>
      </w:pPr>
      <w:r w:rsidRPr="00D807A9">
        <w:rPr>
          <w:rFonts w:cs="Arial"/>
          <w:szCs w:val="20"/>
        </w:rPr>
        <w:tab/>
      </w:r>
      <w:r w:rsidRPr="007B3819">
        <w:rPr>
          <w:rFonts w:cs="Arial"/>
          <w:i/>
          <w:szCs w:val="20"/>
        </w:rPr>
        <w:t>P</w:t>
      </w:r>
      <w:r w:rsidRPr="00D807A9">
        <w:rPr>
          <w:rFonts w:cs="Arial"/>
          <w:szCs w:val="20"/>
          <w:vertAlign w:val="subscript"/>
        </w:rPr>
        <w:t>24</w:t>
      </w:r>
      <w:r w:rsidRPr="00D807A9">
        <w:rPr>
          <w:rFonts w:cs="Arial"/>
          <w:szCs w:val="20"/>
        </w:rPr>
        <w:t xml:space="preserve"> = depth of 24-hour design storm rainfall (inches) (</w:t>
      </w:r>
      <w:r w:rsidR="00B107B8">
        <w:rPr>
          <w:rFonts w:cs="Arial"/>
          <w:szCs w:val="20"/>
        </w:rPr>
        <w:t>from</w:t>
      </w:r>
      <w:r w:rsidRPr="00D807A9">
        <w:rPr>
          <w:rFonts w:cs="Arial"/>
          <w:szCs w:val="20"/>
        </w:rPr>
        <w:t xml:space="preserve"> Schedule 4)</w:t>
      </w:r>
    </w:p>
    <w:p w:rsidR="0077784E" w:rsidRPr="00D807A9" w:rsidRDefault="0077784E" w:rsidP="0077784E">
      <w:pPr>
        <w:ind w:firstLine="720"/>
        <w:rPr>
          <w:rFonts w:cs="Arial"/>
          <w:szCs w:val="20"/>
        </w:rPr>
      </w:pPr>
      <w:r w:rsidRPr="007B3819">
        <w:rPr>
          <w:rFonts w:cs="Arial"/>
          <w:i/>
          <w:szCs w:val="20"/>
        </w:rPr>
        <w:t>RR</w:t>
      </w:r>
      <w:r w:rsidRPr="00D807A9">
        <w:rPr>
          <w:rFonts w:cs="Arial"/>
          <w:szCs w:val="20"/>
        </w:rPr>
        <w:t xml:space="preserve"> = average volumetric reduction rates (per practice)</w:t>
      </w:r>
    </w:p>
    <w:p w:rsidR="0077784E" w:rsidRPr="00D807A9" w:rsidRDefault="0077784E" w:rsidP="0077784E">
      <w:pPr>
        <w:rPr>
          <w:rFonts w:cs="Arial"/>
          <w:szCs w:val="20"/>
        </w:rPr>
      </w:pPr>
    </w:p>
    <w:p w:rsidR="0077784E" w:rsidRPr="00D807A9" w:rsidRDefault="0077784E" w:rsidP="005822D8">
      <w:pPr>
        <w:pStyle w:val="BodyText"/>
      </w:pPr>
      <w:r w:rsidRPr="00D807A9">
        <w:t xml:space="preserve">Five general green </w:t>
      </w:r>
      <w:r w:rsidR="00D73D17">
        <w:t>infrastructure runoff controls</w:t>
      </w:r>
      <w:r w:rsidRPr="00D807A9">
        <w:t xml:space="preserve"> are considered in this schedule. They are</w:t>
      </w:r>
      <w:r w:rsidR="007B3819">
        <w:t xml:space="preserve"> as follows</w:t>
      </w:r>
      <w:r w:rsidRPr="00D807A9">
        <w:t>:</w:t>
      </w:r>
    </w:p>
    <w:p w:rsidR="0077784E" w:rsidRPr="00D807A9" w:rsidRDefault="0077784E" w:rsidP="005822D8">
      <w:pPr>
        <w:pStyle w:val="bullet"/>
      </w:pPr>
      <w:r w:rsidRPr="00D807A9">
        <w:t>Green Roofs</w:t>
      </w:r>
    </w:p>
    <w:p w:rsidR="0077784E" w:rsidRPr="00D807A9" w:rsidRDefault="0077784E" w:rsidP="005822D8">
      <w:pPr>
        <w:pStyle w:val="bullet"/>
      </w:pPr>
      <w:r w:rsidRPr="00D807A9">
        <w:t>Bioretention</w:t>
      </w:r>
    </w:p>
    <w:p w:rsidR="0077784E" w:rsidRPr="00D807A9" w:rsidRDefault="0077784E" w:rsidP="005822D8">
      <w:pPr>
        <w:pStyle w:val="bullet"/>
      </w:pPr>
      <w:r w:rsidRPr="00D807A9">
        <w:t>Vegetated Swales</w:t>
      </w:r>
    </w:p>
    <w:p w:rsidR="0077784E" w:rsidRPr="00D807A9" w:rsidRDefault="0077784E" w:rsidP="005822D8">
      <w:pPr>
        <w:pStyle w:val="bullet"/>
      </w:pPr>
      <w:r w:rsidRPr="00D807A9">
        <w:t>Permeable Pavement</w:t>
      </w:r>
    </w:p>
    <w:p w:rsidR="0077784E" w:rsidRPr="00D807A9" w:rsidRDefault="0077784E" w:rsidP="005822D8">
      <w:pPr>
        <w:pStyle w:val="bullet"/>
      </w:pPr>
      <w:r w:rsidRPr="00D807A9">
        <w:t>Rain Barrels and Cisterns</w:t>
      </w:r>
    </w:p>
    <w:p w:rsidR="0077784E" w:rsidRPr="00D807A9" w:rsidRDefault="0077784E" w:rsidP="005822D8">
      <w:pPr>
        <w:pStyle w:val="BodyText"/>
      </w:pPr>
      <w:r w:rsidRPr="00D807A9">
        <w:rPr>
          <w:bCs/>
        </w:rPr>
        <w:t>Use of more than one green infrastructure practice type is common</w:t>
      </w:r>
      <w:r w:rsidR="0043213D">
        <w:rPr>
          <w:bCs/>
        </w:rPr>
        <w:t xml:space="preserve">. </w:t>
      </w:r>
      <w:r w:rsidRPr="00D807A9">
        <w:rPr>
          <w:bCs/>
        </w:rPr>
        <w:t>The calculations in Schedule 5</w:t>
      </w:r>
      <w:r w:rsidR="00D73D17">
        <w:rPr>
          <w:bCs/>
        </w:rPr>
        <w:t>A</w:t>
      </w:r>
      <w:r w:rsidRPr="00D807A9">
        <w:rPr>
          <w:bCs/>
        </w:rPr>
        <w:t xml:space="preserve"> can be </w:t>
      </w:r>
      <w:r w:rsidRPr="00D807A9">
        <w:t>used iterative</w:t>
      </w:r>
      <w:r w:rsidR="007B3819">
        <w:t>ly</w:t>
      </w:r>
      <w:r w:rsidRPr="00D807A9">
        <w:t xml:space="preserve"> to identify the most appropriate mix of green infrastructure practices with respect to CSO reduction and cost. </w:t>
      </w:r>
      <w:r w:rsidR="00DA7492" w:rsidRPr="00DA7492">
        <w:t>CSO communities are welcome to consider us</w:t>
      </w:r>
      <w:r w:rsidR="00ED1BC1">
        <w:t>ing</w:t>
      </w:r>
      <w:r w:rsidR="00DA7492" w:rsidRPr="00DA7492">
        <w:t xml:space="preserve"> other green infrastructure runoff controls outside the controls </w:t>
      </w:r>
      <w:r w:rsidR="00DA7492" w:rsidRPr="00DA7492">
        <w:rPr>
          <w:bCs/>
        </w:rPr>
        <w:t xml:space="preserve">described above to reduce runoff. </w:t>
      </w:r>
      <w:r w:rsidR="00DA7492" w:rsidRPr="00DA7492">
        <w:t>Appropriate analyses of other controls and their associated runoff reduction should be attached and submitted along with the other Green LTCP-EZ schedules and forms that the permittee has used to develop the LTCP.</w:t>
      </w:r>
    </w:p>
    <w:p w:rsidR="0077784E" w:rsidRPr="005822D8" w:rsidRDefault="00D73D17" w:rsidP="005822D8">
      <w:pPr>
        <w:pStyle w:val="Heading2"/>
      </w:pPr>
      <w:bookmarkStart w:id="131" w:name="_Toc285015597"/>
      <w:r w:rsidRPr="005822D8">
        <w:t>Recalculating CSO Volume</w:t>
      </w:r>
      <w:bookmarkEnd w:id="131"/>
    </w:p>
    <w:p w:rsidR="0077784E" w:rsidRPr="001515A4" w:rsidRDefault="006F7C2D" w:rsidP="005822D8">
      <w:pPr>
        <w:pStyle w:val="BodyText"/>
      </w:pPr>
      <w:r>
        <w:t>Schedule 5A</w:t>
      </w:r>
      <w:r w:rsidR="001515A4" w:rsidRPr="001515A4">
        <w:t xml:space="preserve"> also include</w:t>
      </w:r>
      <w:r w:rsidR="001515A4">
        <w:t>s</w:t>
      </w:r>
      <w:r w:rsidR="001515A4" w:rsidRPr="001515A4">
        <w:t xml:space="preserve"> a recalculation of the CSO volume</w:t>
      </w:r>
      <w:r w:rsidR="001515A4">
        <w:t xml:space="preserve"> determined in Schedule 4</w:t>
      </w:r>
      <w:r w:rsidR="0043213D">
        <w:t xml:space="preserve">. </w:t>
      </w:r>
      <w:r w:rsidR="001515A4" w:rsidRPr="001515A4">
        <w:t xml:space="preserve">The green </w:t>
      </w:r>
      <w:r w:rsidR="001515A4">
        <w:t xml:space="preserve">infrastructure </w:t>
      </w:r>
      <w:r w:rsidR="001515A4" w:rsidRPr="001515A4">
        <w:t xml:space="preserve">practices are </w:t>
      </w:r>
      <w:r w:rsidR="001515A4">
        <w:t>runoff</w:t>
      </w:r>
      <w:r w:rsidR="00ED1BC1">
        <w:t>-</w:t>
      </w:r>
      <w:r w:rsidR="001515A4" w:rsidRPr="001515A4">
        <w:t xml:space="preserve">reduction techniques that affect the peak flow rate </w:t>
      </w:r>
      <w:r w:rsidR="001515A4">
        <w:t xml:space="preserve">and runoff volume </w:t>
      </w:r>
      <w:r w:rsidR="001515A4" w:rsidRPr="001515A4">
        <w:t xml:space="preserve">from each sewershed, which in turn </w:t>
      </w:r>
      <w:r w:rsidR="00ED1BC1">
        <w:t>affe</w:t>
      </w:r>
      <w:r w:rsidR="001515A4" w:rsidRPr="001515A4">
        <w:t>cts the overflow fraction, the diversion fraction, and the ultimate CSO volume requiring controls</w:t>
      </w:r>
      <w:r w:rsidR="0043213D">
        <w:t xml:space="preserve">. </w:t>
      </w:r>
      <w:r>
        <w:t>Therefore</w:t>
      </w:r>
      <w:r w:rsidR="001515A4" w:rsidRPr="001515A4">
        <w:t xml:space="preserve">, it </w:t>
      </w:r>
      <w:r w:rsidR="001515A4">
        <w:t>is</w:t>
      </w:r>
      <w:r w:rsidR="001515A4" w:rsidRPr="001515A4">
        <w:t xml:space="preserve"> necessary to recalculate the peak flow rate and determine a new CSO volume</w:t>
      </w:r>
      <w:r w:rsidR="001515A4">
        <w:t xml:space="preserve"> for evaluation with Schedule 5B</w:t>
      </w:r>
      <w:r w:rsidR="0043213D">
        <w:t xml:space="preserve">. </w:t>
      </w:r>
      <w:r w:rsidR="001515A4">
        <w:t>Th</w:t>
      </w:r>
      <w:r>
        <w:t xml:space="preserve">e </w:t>
      </w:r>
      <w:r w:rsidRPr="001515A4">
        <w:t>recalculation of the CSO volume</w:t>
      </w:r>
      <w:r>
        <w:t xml:space="preserve"> in Schedule 5A</w:t>
      </w:r>
      <w:r w:rsidR="001515A4">
        <w:t xml:space="preserve"> follows the same procedure outlined in Schedule 4.</w:t>
      </w:r>
    </w:p>
    <w:p w:rsidR="0077784E" w:rsidRPr="00D807A9" w:rsidRDefault="0077784E" w:rsidP="0077784E">
      <w:pPr>
        <w:rPr>
          <w:rFonts w:cs="Arial"/>
          <w:b/>
          <w:sz w:val="22"/>
          <w:szCs w:val="22"/>
        </w:rPr>
      </w:pPr>
    </w:p>
    <w:p w:rsidR="0077784E" w:rsidRPr="00D807A9" w:rsidRDefault="0077784E" w:rsidP="003859D2">
      <w:pPr>
        <w:pStyle w:val="Heading2"/>
        <w:sectPr w:rsidR="0077784E" w:rsidRPr="00D807A9" w:rsidSect="00A20390">
          <w:headerReference w:type="even" r:id="rId55"/>
          <w:headerReference w:type="default" r:id="rId56"/>
          <w:footerReference w:type="even" r:id="rId57"/>
          <w:footerReference w:type="default" r:id="rId58"/>
          <w:endnotePr>
            <w:numFmt w:val="decimal"/>
            <w:numRestart w:val="eachSect"/>
          </w:endnotePr>
          <w:type w:val="continuous"/>
          <w:pgSz w:w="12240" w:h="15840" w:code="1"/>
          <w:pgMar w:top="1440" w:right="1440" w:bottom="1440" w:left="1440" w:header="720" w:footer="720" w:gutter="0"/>
          <w:cols w:space="720"/>
          <w:docGrid w:linePitch="360"/>
        </w:sectPr>
      </w:pPr>
    </w:p>
    <w:p w:rsidR="0077784E" w:rsidRPr="003859D2" w:rsidRDefault="0077784E" w:rsidP="003859D2">
      <w:pPr>
        <w:pStyle w:val="Heading2"/>
      </w:pPr>
      <w:r w:rsidRPr="00D807A9">
        <w:rPr>
          <w:szCs w:val="20"/>
        </w:rPr>
        <w:br w:type="page"/>
      </w:r>
      <w:bookmarkStart w:id="132" w:name="_Toc243725253"/>
      <w:bookmarkStart w:id="133" w:name="_Toc243809435"/>
      <w:bookmarkStart w:id="134" w:name="_Toc285015598"/>
      <w:r w:rsidRPr="003859D2">
        <w:lastRenderedPageBreak/>
        <w:t>Impervious Area</w:t>
      </w:r>
      <w:bookmarkEnd w:id="132"/>
      <w:bookmarkEnd w:id="133"/>
      <w:bookmarkEnd w:id="134"/>
    </w:p>
    <w:p w:rsidR="0062037C" w:rsidRDefault="00F02678" w:rsidP="005822D8">
      <w:pPr>
        <w:pStyle w:val="BodyText"/>
      </w:pPr>
      <w:r>
        <w:t>This section is used to quantify the area of directly</w:t>
      </w:r>
      <w:r w:rsidR="005B40DF">
        <w:t xml:space="preserve"> </w:t>
      </w:r>
      <w:r>
        <w:t>connected impervious surface (such as pavement, rooftops, and sidewalks) within each sub-sewershed that contributes runoff to the CSS</w:t>
      </w:r>
      <w:r w:rsidR="0043213D">
        <w:t xml:space="preserve">. </w:t>
      </w:r>
      <w:r>
        <w:t>Th</w:t>
      </w:r>
      <w:r w:rsidR="005037CB">
        <w:t>e directly</w:t>
      </w:r>
      <w:r w:rsidR="005B40DF">
        <w:t xml:space="preserve"> </w:t>
      </w:r>
      <w:r w:rsidR="005037CB">
        <w:t>connected impervious area</w:t>
      </w:r>
      <w:r>
        <w:t xml:space="preserve"> can be measured directly using GIS data or aerial photos</w:t>
      </w:r>
      <w:r w:rsidR="0043213D">
        <w:t xml:space="preserve">. </w:t>
      </w:r>
      <w:r w:rsidR="00454E85">
        <w:t>If th</w:t>
      </w:r>
      <w:r w:rsidR="005037CB">
        <w:t>e</w:t>
      </w:r>
      <w:r w:rsidR="00454E85">
        <w:t xml:space="preserve"> data </w:t>
      </w:r>
      <w:r w:rsidR="005037CB">
        <w:t>are</w:t>
      </w:r>
      <w:r w:rsidR="00454E85">
        <w:t xml:space="preserve"> not readily available, </w:t>
      </w:r>
      <w:r w:rsidR="005037CB">
        <w:t>the</w:t>
      </w:r>
      <w:r w:rsidR="0013165B">
        <w:t xml:space="preserve"> </w:t>
      </w:r>
      <w:r w:rsidR="00454E85">
        <w:t>percentage</w:t>
      </w:r>
      <w:r w:rsidR="005037CB">
        <w:t xml:space="preserve"> of directly</w:t>
      </w:r>
      <w:r w:rsidR="005B40DF">
        <w:t xml:space="preserve"> </w:t>
      </w:r>
      <w:r w:rsidR="005037CB">
        <w:t xml:space="preserve">connected impervious surface in a subsewershed </w:t>
      </w:r>
      <w:r w:rsidR="00454E85">
        <w:t xml:space="preserve">can be </w:t>
      </w:r>
      <w:r w:rsidR="005037CB">
        <w:t>estimated</w:t>
      </w:r>
      <w:r w:rsidR="00454E85">
        <w:t xml:space="preserve"> </w:t>
      </w:r>
      <w:r w:rsidR="00913288">
        <w:t>on</w:t>
      </w:r>
      <w:r w:rsidR="00454E85">
        <w:t xml:space="preserve"> </w:t>
      </w:r>
      <w:r w:rsidR="00ED1BC1" w:rsidRPr="00ED1BC1">
        <w:t xml:space="preserve">the basis of </w:t>
      </w:r>
      <w:r w:rsidR="00454E85">
        <w:t xml:space="preserve">the principal land uses </w:t>
      </w:r>
      <w:r w:rsidR="00913288">
        <w:t>previously identified for each sub-sewershed in Schedule 4</w:t>
      </w:r>
      <w:r w:rsidR="0062037C">
        <w:t>.</w:t>
      </w:r>
    </w:p>
    <w:p w:rsidR="0077784E" w:rsidRPr="00D807A9" w:rsidRDefault="0077784E" w:rsidP="005822D8">
      <w:pPr>
        <w:pStyle w:val="BodyText"/>
      </w:pPr>
      <w:r w:rsidRPr="00FA6577">
        <w:rPr>
          <w:rStyle w:val="Bold"/>
        </w:rPr>
        <w:t>Line 1 – Sub-sewershed area (acres).</w:t>
      </w:r>
      <w:r w:rsidRPr="00D807A9">
        <w:t xml:space="preserve"> Enter the sub-sewershed area for each </w:t>
      </w:r>
      <w:r w:rsidR="00F02678">
        <w:t>sub-sewershed</w:t>
      </w:r>
      <w:r w:rsidRPr="00D807A9">
        <w:t xml:space="preserve"> on Line 1 (Line 10a on Form </w:t>
      </w:r>
      <w:r w:rsidR="005939DE">
        <w:t xml:space="preserve">GREEN </w:t>
      </w:r>
      <w:r w:rsidRPr="00D807A9">
        <w:t>LTCP-EZ</w:t>
      </w:r>
      <w:r w:rsidR="0043213D">
        <w:t xml:space="preserve">. </w:t>
      </w:r>
      <w:r w:rsidRPr="00D807A9">
        <w:t>If you are using the electronic version of the form, this value will have been filled in automatically.)</w:t>
      </w:r>
    </w:p>
    <w:p w:rsidR="0077784E" w:rsidRPr="00D807A9" w:rsidRDefault="0077784E" w:rsidP="005822D8">
      <w:pPr>
        <w:pStyle w:val="BodyText"/>
      </w:pPr>
      <w:r w:rsidRPr="00FA6577">
        <w:rPr>
          <w:rStyle w:val="Bold"/>
        </w:rPr>
        <w:t xml:space="preserve">Line 2 – Fraction of </w:t>
      </w:r>
      <w:r w:rsidR="00BE73C2" w:rsidRPr="00FA6577">
        <w:rPr>
          <w:rStyle w:val="Bold"/>
        </w:rPr>
        <w:t>directly</w:t>
      </w:r>
      <w:r w:rsidR="005B40DF" w:rsidRPr="00FA6577">
        <w:rPr>
          <w:rStyle w:val="Bold"/>
        </w:rPr>
        <w:t xml:space="preserve"> </w:t>
      </w:r>
      <w:r w:rsidR="00BE73C2" w:rsidRPr="00FA6577">
        <w:rPr>
          <w:rStyle w:val="Bold"/>
        </w:rPr>
        <w:t xml:space="preserve">connected </w:t>
      </w:r>
      <w:r w:rsidRPr="00FA6577">
        <w:rPr>
          <w:rStyle w:val="Bold"/>
        </w:rPr>
        <w:t>impervious area within sub-sewershed.</w:t>
      </w:r>
      <w:r w:rsidRPr="00D807A9">
        <w:t xml:space="preserve"> Enter the fraction of </w:t>
      </w:r>
      <w:r w:rsidR="00BE73C2">
        <w:t>directly</w:t>
      </w:r>
      <w:r w:rsidR="005B40DF">
        <w:t xml:space="preserve"> </w:t>
      </w:r>
      <w:r w:rsidR="00BE73C2">
        <w:t xml:space="preserve">connected </w:t>
      </w:r>
      <w:r w:rsidRPr="00D807A9">
        <w:t xml:space="preserve">impervious area within </w:t>
      </w:r>
      <w:r w:rsidR="00913288">
        <w:t>each sub-sewershed on Line 2.</w:t>
      </w:r>
    </w:p>
    <w:p w:rsidR="0062037C" w:rsidRDefault="0077784E" w:rsidP="005822D8">
      <w:pPr>
        <w:pStyle w:val="BodyText"/>
      </w:pPr>
      <w:r w:rsidRPr="00FA6577">
        <w:rPr>
          <w:rStyle w:val="Bold"/>
        </w:rPr>
        <w:t xml:space="preserve">Line 3 – </w:t>
      </w:r>
      <w:r w:rsidR="00BE73C2" w:rsidRPr="00FA6577">
        <w:rPr>
          <w:rStyle w:val="Bold"/>
        </w:rPr>
        <w:t>Directly</w:t>
      </w:r>
      <w:r w:rsidR="005B40DF" w:rsidRPr="00FA6577">
        <w:rPr>
          <w:rStyle w:val="Bold"/>
        </w:rPr>
        <w:t xml:space="preserve"> </w:t>
      </w:r>
      <w:r w:rsidR="00BE73C2" w:rsidRPr="00FA6577">
        <w:rPr>
          <w:rStyle w:val="Bold"/>
        </w:rPr>
        <w:t xml:space="preserve">connected impervious </w:t>
      </w:r>
      <w:r w:rsidR="00913288" w:rsidRPr="00FA6577">
        <w:rPr>
          <w:rStyle w:val="Bold"/>
        </w:rPr>
        <w:t>a</w:t>
      </w:r>
      <w:r w:rsidRPr="00FA6577">
        <w:rPr>
          <w:rStyle w:val="Bold"/>
        </w:rPr>
        <w:t>rea (acres) within sub-sewershed.</w:t>
      </w:r>
      <w:r w:rsidRPr="00D807A9">
        <w:t xml:space="preserve"> Multiply the sub-sewershed area on Line 1 by the fraction of </w:t>
      </w:r>
      <w:r w:rsidR="00BE73C2">
        <w:t>directly</w:t>
      </w:r>
      <w:r w:rsidR="005B40DF">
        <w:t xml:space="preserve"> </w:t>
      </w:r>
      <w:r w:rsidR="00BE73C2">
        <w:t xml:space="preserve">connected </w:t>
      </w:r>
      <w:r w:rsidRPr="00D807A9">
        <w:t>impervious area within the sub-sewershed on Line 2</w:t>
      </w:r>
      <w:r w:rsidR="00507715">
        <w:t xml:space="preserve"> and</w:t>
      </w:r>
      <w:r w:rsidR="00507715" w:rsidRPr="005822D8">
        <w:t xml:space="preserve"> </w:t>
      </w:r>
      <w:r w:rsidR="00507715">
        <w:t>enter the product on line 3</w:t>
      </w:r>
      <w:r w:rsidR="0062037C">
        <w:t>.</w:t>
      </w:r>
    </w:p>
    <w:p w:rsidR="0077784E" w:rsidRPr="00D807A9" w:rsidRDefault="00913288" w:rsidP="005822D8">
      <w:pPr>
        <w:pStyle w:val="Heading2"/>
      </w:pPr>
      <w:bookmarkStart w:id="135" w:name="_Toc285015599"/>
      <w:r>
        <w:t>Retention</w:t>
      </w:r>
      <w:r w:rsidR="00F7632D">
        <w:t xml:space="preserve"> Standard or Goal</w:t>
      </w:r>
      <w:bookmarkEnd w:id="135"/>
    </w:p>
    <w:p w:rsidR="0062037C" w:rsidRDefault="002B55E8" w:rsidP="005822D8">
      <w:pPr>
        <w:pStyle w:val="BodyText"/>
      </w:pPr>
      <w:r w:rsidRPr="002B55E8">
        <w:t xml:space="preserve">Many municipalities are beginning to mandate </w:t>
      </w:r>
      <w:r w:rsidR="00D73D17">
        <w:t xml:space="preserve">or encourage </w:t>
      </w:r>
      <w:r w:rsidRPr="002B55E8">
        <w:t xml:space="preserve">on-site </w:t>
      </w:r>
      <w:r w:rsidR="0013165B">
        <w:t xml:space="preserve">runoff </w:t>
      </w:r>
      <w:r w:rsidRPr="002B55E8">
        <w:t xml:space="preserve">retention standards </w:t>
      </w:r>
      <w:r w:rsidR="00D73D17">
        <w:t xml:space="preserve">or goals </w:t>
      </w:r>
      <w:r w:rsidRPr="002B55E8">
        <w:t>(</w:t>
      </w:r>
      <w:r w:rsidRPr="007B3819">
        <w:rPr>
          <w:iCs/>
        </w:rPr>
        <w:t>e.g.</w:t>
      </w:r>
      <w:r w:rsidRPr="004D23B9">
        <w:rPr>
          <w:rStyle w:val="italic"/>
        </w:rPr>
        <w:t>,</w:t>
      </w:r>
      <w:r w:rsidRPr="002B55E8">
        <w:t xml:space="preserve"> retain first one-inch of rainfall) for development or redevelopment that exceeds a </w:t>
      </w:r>
      <w:r w:rsidRPr="002B55E8">
        <w:t>certain size</w:t>
      </w:r>
      <w:r w:rsidR="0043213D">
        <w:t xml:space="preserve">. </w:t>
      </w:r>
      <w:r w:rsidRPr="002B55E8">
        <w:t xml:space="preserve">In many cases, green infrastructure practices </w:t>
      </w:r>
      <w:r w:rsidR="00875DB6">
        <w:t xml:space="preserve">or controls </w:t>
      </w:r>
      <w:r w:rsidRPr="002B55E8">
        <w:t>are directed to be the first management options considered</w:t>
      </w:r>
      <w:r w:rsidR="0043213D">
        <w:t xml:space="preserve">. </w:t>
      </w:r>
      <w:r w:rsidR="00F7632D">
        <w:t>In this section, t</w:t>
      </w:r>
      <w:r w:rsidR="00D73D17">
        <w:t>he permittee</w:t>
      </w:r>
      <w:r w:rsidRPr="002B55E8">
        <w:t xml:space="preserve"> need</w:t>
      </w:r>
      <w:r w:rsidR="00D73D17">
        <w:t>s</w:t>
      </w:r>
      <w:r w:rsidRPr="002B55E8">
        <w:t xml:space="preserve"> to supply the </w:t>
      </w:r>
      <w:r w:rsidR="0013165B">
        <w:t xml:space="preserve">runoff </w:t>
      </w:r>
      <w:r w:rsidRPr="002B55E8">
        <w:t xml:space="preserve">retention standard </w:t>
      </w:r>
      <w:r w:rsidR="00D73D17">
        <w:t>or goal</w:t>
      </w:r>
      <w:r w:rsidR="005037CB">
        <w:t>, as well as an estimate of the percentage of area in the sub-sewershed that will be redeveloped within the planning horizon</w:t>
      </w:r>
      <w:r w:rsidR="0062037C">
        <w:t>.</w:t>
      </w:r>
    </w:p>
    <w:p w:rsidR="0062037C" w:rsidRDefault="0077784E" w:rsidP="005822D8">
      <w:pPr>
        <w:pStyle w:val="BodyText"/>
      </w:pPr>
      <w:r w:rsidRPr="00FA6577">
        <w:rPr>
          <w:rStyle w:val="Bold"/>
        </w:rPr>
        <w:t xml:space="preserve">Line 4 – Fraction of sub-sewershed to be </w:t>
      </w:r>
      <w:r w:rsidR="00F7632D" w:rsidRPr="00FA6577">
        <w:rPr>
          <w:rStyle w:val="Bold"/>
        </w:rPr>
        <w:t>re</w:t>
      </w:r>
      <w:r w:rsidRPr="00FA6577">
        <w:rPr>
          <w:rStyle w:val="Bold"/>
        </w:rPr>
        <w:t>developed over planning horizon</w:t>
      </w:r>
      <w:r w:rsidR="0043213D" w:rsidRPr="00FA6577">
        <w:rPr>
          <w:rStyle w:val="Bold"/>
        </w:rPr>
        <w:t xml:space="preserve">. </w:t>
      </w:r>
      <w:r w:rsidR="00F7632D">
        <w:t xml:space="preserve">Estimate the fraction of the </w:t>
      </w:r>
      <w:r w:rsidR="005037CB">
        <w:t>sub-</w:t>
      </w:r>
      <w:r w:rsidR="00F7632D">
        <w:t xml:space="preserve">sewershed that is expected to be redeveloped over a planning horizon. This </w:t>
      </w:r>
      <w:r w:rsidR="005037CB">
        <w:t xml:space="preserve">estimate </w:t>
      </w:r>
      <w:r w:rsidR="00F7632D">
        <w:t xml:space="preserve">should be based on municipal planning </w:t>
      </w:r>
      <w:r w:rsidR="005F092A">
        <w:t xml:space="preserve">exercises </w:t>
      </w:r>
      <w:r w:rsidR="00F7632D">
        <w:t xml:space="preserve">or </w:t>
      </w:r>
      <w:r w:rsidR="005F092A">
        <w:t xml:space="preserve">other </w:t>
      </w:r>
      <w:r w:rsidR="00F7632D">
        <w:t xml:space="preserve">long-range forecasts. </w:t>
      </w:r>
      <w:r w:rsidR="00F7632D" w:rsidRPr="00F7632D">
        <w:t xml:space="preserve">For purposes of this calculation, </w:t>
      </w:r>
      <w:r w:rsidR="00F7632D">
        <w:t xml:space="preserve">the </w:t>
      </w:r>
      <w:r w:rsidR="00F7632D" w:rsidRPr="00F7632D">
        <w:t>planning horizon should not exceed 2</w:t>
      </w:r>
      <w:r w:rsidR="00F7632D">
        <w:t>5</w:t>
      </w:r>
      <w:r w:rsidR="00F7632D" w:rsidRPr="00F7632D">
        <w:t xml:space="preserve"> years.</w:t>
      </w:r>
      <w:r w:rsidR="00F7632D">
        <w:t xml:space="preserve"> If no redevelopment forecasts are available, the permittee can use </w:t>
      </w:r>
      <w:r w:rsidR="005037CB">
        <w:t>a</w:t>
      </w:r>
      <w:r w:rsidR="00F7632D">
        <w:t xml:space="preserve"> default redevelopment </w:t>
      </w:r>
      <w:r w:rsidR="00166F9A">
        <w:t>fraction</w:t>
      </w:r>
      <w:r w:rsidR="00F7632D">
        <w:t xml:space="preserve"> of 0.30 (30</w:t>
      </w:r>
      <w:r w:rsidR="008C7002">
        <w:t xml:space="preserve"> percent</w:t>
      </w:r>
      <w:r w:rsidR="00F7632D">
        <w:t xml:space="preserve">) over a 25-year planning period. </w:t>
      </w:r>
      <w:r w:rsidR="008C7002">
        <w:t>N</w:t>
      </w:r>
      <w:r w:rsidR="00F7632D">
        <w:t xml:space="preserve">ote that this calculation should consider </w:t>
      </w:r>
      <w:r w:rsidR="008C7002">
        <w:t xml:space="preserve">only </w:t>
      </w:r>
      <w:r w:rsidR="00F7632D">
        <w:t xml:space="preserve">redevelopment. New development on previously undeveloped </w:t>
      </w:r>
      <w:r w:rsidR="005F092A">
        <w:t xml:space="preserve">or </w:t>
      </w:r>
      <w:r w:rsidR="005F092A" w:rsidRPr="004D23B9">
        <w:rPr>
          <w:rStyle w:val="italic"/>
        </w:rPr>
        <w:t>greenfield</w:t>
      </w:r>
      <w:r w:rsidR="005F092A">
        <w:t xml:space="preserve"> </w:t>
      </w:r>
      <w:r w:rsidR="00F7632D">
        <w:t>areas should not be included in the fraction</w:t>
      </w:r>
      <w:r w:rsidR="0062037C">
        <w:t>.</w:t>
      </w:r>
    </w:p>
    <w:p w:rsidR="0077784E" w:rsidRPr="00FA6577" w:rsidRDefault="0077784E" w:rsidP="005822D8">
      <w:pPr>
        <w:pStyle w:val="BodyText"/>
        <w:rPr>
          <w:rStyle w:val="Bold"/>
        </w:rPr>
      </w:pPr>
      <w:r w:rsidRPr="00FA6577">
        <w:rPr>
          <w:rStyle w:val="Bold"/>
        </w:rPr>
        <w:t xml:space="preserve">Line 5 – </w:t>
      </w:r>
      <w:r w:rsidR="00BE73C2" w:rsidRPr="00FA6577">
        <w:rPr>
          <w:rStyle w:val="Bold"/>
        </w:rPr>
        <w:t>Direct</w:t>
      </w:r>
      <w:r w:rsidR="005B40DF" w:rsidRPr="00FA6577">
        <w:rPr>
          <w:rStyle w:val="Bold"/>
        </w:rPr>
        <w:t xml:space="preserve">ly </w:t>
      </w:r>
      <w:r w:rsidR="00BE73C2" w:rsidRPr="00FA6577">
        <w:rPr>
          <w:rStyle w:val="Bold"/>
        </w:rPr>
        <w:t xml:space="preserve">connected impervious </w:t>
      </w:r>
      <w:r w:rsidRPr="00FA6577">
        <w:rPr>
          <w:rStyle w:val="Bold"/>
        </w:rPr>
        <w:t xml:space="preserve">area (acres) managed. </w:t>
      </w:r>
      <w:r w:rsidRPr="00D807A9">
        <w:t xml:space="preserve">Multiply the </w:t>
      </w:r>
      <w:r w:rsidR="00BE73C2">
        <w:t>direct</w:t>
      </w:r>
      <w:r w:rsidR="005B40DF">
        <w:t xml:space="preserve">ly </w:t>
      </w:r>
      <w:r w:rsidR="00BE73C2">
        <w:t>connected</w:t>
      </w:r>
      <w:r w:rsidR="00BE73C2" w:rsidRPr="00D807A9">
        <w:t xml:space="preserve"> </w:t>
      </w:r>
      <w:r w:rsidRPr="00D807A9">
        <w:t xml:space="preserve">impervious area (acres) within </w:t>
      </w:r>
      <w:r w:rsidR="009252F8">
        <w:t xml:space="preserve">the </w:t>
      </w:r>
      <w:r w:rsidRPr="00D807A9">
        <w:t xml:space="preserve">sub-sewershed on Line 3 by the fraction of sub-sewershed to be </w:t>
      </w:r>
      <w:r w:rsidR="009252F8">
        <w:t>re</w:t>
      </w:r>
      <w:r w:rsidRPr="00D807A9">
        <w:t xml:space="preserve">developed over </w:t>
      </w:r>
      <w:r w:rsidR="00705A0F">
        <w:t xml:space="preserve">the </w:t>
      </w:r>
      <w:r w:rsidRPr="00D807A9">
        <w:t>planning horizon on Line 4</w:t>
      </w:r>
      <w:r w:rsidR="00507715">
        <w:t xml:space="preserve"> and enter the product on line 5</w:t>
      </w:r>
      <w:r w:rsidRPr="00D807A9">
        <w:t>.</w:t>
      </w:r>
    </w:p>
    <w:p w:rsidR="0077784E" w:rsidRPr="00875DB6" w:rsidRDefault="0077784E" w:rsidP="005822D8">
      <w:pPr>
        <w:pStyle w:val="BodyText"/>
      </w:pPr>
      <w:r w:rsidRPr="00FA6577">
        <w:rPr>
          <w:rStyle w:val="Bold"/>
        </w:rPr>
        <w:t xml:space="preserve">Line 6 – Depth of </w:t>
      </w:r>
      <w:r w:rsidR="00875DB6" w:rsidRPr="00FA6577">
        <w:rPr>
          <w:rStyle w:val="Bold"/>
        </w:rPr>
        <w:t xml:space="preserve">rainfall </w:t>
      </w:r>
      <w:r w:rsidRPr="00FA6577">
        <w:rPr>
          <w:rStyle w:val="Bold"/>
        </w:rPr>
        <w:t xml:space="preserve">retention standard </w:t>
      </w:r>
      <w:r w:rsidR="00875DB6" w:rsidRPr="00FA6577">
        <w:rPr>
          <w:rStyle w:val="Bold"/>
        </w:rPr>
        <w:t xml:space="preserve">or goal </w:t>
      </w:r>
      <w:r w:rsidRPr="00FA6577">
        <w:rPr>
          <w:rStyle w:val="Bold"/>
        </w:rPr>
        <w:t>(inches)</w:t>
      </w:r>
      <w:r w:rsidR="0043213D" w:rsidRPr="00FA6577">
        <w:rPr>
          <w:rStyle w:val="Bold"/>
        </w:rPr>
        <w:t xml:space="preserve">. </w:t>
      </w:r>
      <w:r w:rsidR="005037CB">
        <w:t>Enter</w:t>
      </w:r>
      <w:r w:rsidR="00875DB6">
        <w:t xml:space="preserve"> a depth that represents the quantity of precipitation that is expected or required to be retained (</w:t>
      </w:r>
      <w:r w:rsidR="00875DB6" w:rsidRPr="007B3819">
        <w:rPr>
          <w:iCs/>
        </w:rPr>
        <w:t>i.e.,</w:t>
      </w:r>
      <w:r w:rsidR="001E3E5B">
        <w:t> </w:t>
      </w:r>
      <w:r w:rsidR="00875DB6" w:rsidRPr="00875DB6">
        <w:t>infiltrated,</w:t>
      </w:r>
      <w:r w:rsidR="00875DB6">
        <w:t xml:space="preserve"> stored,</w:t>
      </w:r>
      <w:r w:rsidR="00875DB6" w:rsidRPr="00875DB6">
        <w:t xml:space="preserve"> </w:t>
      </w:r>
      <w:r w:rsidR="00875DB6">
        <w:t xml:space="preserve">or </w:t>
      </w:r>
      <w:r w:rsidR="00875DB6" w:rsidRPr="00875DB6">
        <w:t>evapotranspired</w:t>
      </w:r>
      <w:r w:rsidR="00875DB6">
        <w:t xml:space="preserve">) on-site with green infrastructure runoff </w:t>
      </w:r>
      <w:r w:rsidR="00875DB6">
        <w:t>controls</w:t>
      </w:r>
      <w:r w:rsidR="0043213D">
        <w:t xml:space="preserve">. </w:t>
      </w:r>
      <w:r w:rsidR="00875DB6">
        <w:t>This depth cannot be greater than the 24-hour, 3</w:t>
      </w:r>
      <w:r w:rsidR="001E3E5B">
        <w:noBreakHyphen/>
      </w:r>
      <w:r w:rsidR="00875DB6">
        <w:t xml:space="preserve">month rainfall previously calculated. Typical retention standards will likely </w:t>
      </w:r>
      <w:r w:rsidR="006E256E">
        <w:t>be</w:t>
      </w:r>
      <w:r w:rsidR="00875DB6">
        <w:t xml:space="preserve"> between </w:t>
      </w:r>
      <w:r w:rsidR="00875DB6" w:rsidRPr="00875DB6">
        <w:t>0.5</w:t>
      </w:r>
      <w:r w:rsidR="00875DB6">
        <w:t xml:space="preserve"> and </w:t>
      </w:r>
      <w:smartTag w:uri="urn:schemas-microsoft-com:office:smarttags" w:element="metricconverter">
        <w:smartTagPr>
          <w:attr w:name="ProductID" w:val="1.5 inches"/>
        </w:smartTagPr>
        <w:r w:rsidR="00875DB6" w:rsidRPr="00875DB6">
          <w:t>1.5 inches</w:t>
        </w:r>
      </w:smartTag>
      <w:r w:rsidR="00875DB6">
        <w:t>.</w:t>
      </w:r>
    </w:p>
    <w:p w:rsidR="0077784E" w:rsidRPr="00D807A9" w:rsidRDefault="002B55E8" w:rsidP="003859D2">
      <w:pPr>
        <w:pStyle w:val="Heading2"/>
      </w:pPr>
      <w:bookmarkStart w:id="136" w:name="_Toc243725254"/>
      <w:bookmarkStart w:id="137" w:name="_Toc243809436"/>
      <w:bookmarkStart w:id="138" w:name="_Toc285015600"/>
      <w:r>
        <w:t>Runoff</w:t>
      </w:r>
      <w:r w:rsidR="0077784E" w:rsidRPr="00D807A9">
        <w:t xml:space="preserve"> Reduction</w:t>
      </w:r>
      <w:bookmarkEnd w:id="136"/>
      <w:bookmarkEnd w:id="137"/>
      <w:bookmarkEnd w:id="138"/>
    </w:p>
    <w:p w:rsidR="00F7632D" w:rsidRPr="00FA6577" w:rsidRDefault="00F7632D" w:rsidP="005822D8">
      <w:pPr>
        <w:pStyle w:val="BodyText"/>
        <w:rPr>
          <w:rStyle w:val="Bold"/>
        </w:rPr>
      </w:pPr>
      <w:r>
        <w:t>Th</w:t>
      </w:r>
      <w:r w:rsidR="005F092A">
        <w:t>e</w:t>
      </w:r>
      <w:r>
        <w:t xml:space="preserve"> impervious </w:t>
      </w:r>
      <w:r w:rsidR="00B45E75">
        <w:t>area</w:t>
      </w:r>
      <w:r>
        <w:t xml:space="preserve"> </w:t>
      </w:r>
      <w:r w:rsidR="00B45E75">
        <w:t>calculation and the retention standard or goal are used together to determine the associated runoff reduction.</w:t>
      </w:r>
    </w:p>
    <w:p w:rsidR="0062037C" w:rsidRDefault="0077784E" w:rsidP="005822D8">
      <w:pPr>
        <w:pStyle w:val="BodyText"/>
      </w:pPr>
      <w:r w:rsidRPr="00FA6577">
        <w:rPr>
          <w:rStyle w:val="Bold"/>
        </w:rPr>
        <w:t xml:space="preserve">Line 7 – </w:t>
      </w:r>
      <w:r w:rsidR="006E256E" w:rsidRPr="00FA6577">
        <w:rPr>
          <w:rStyle w:val="Bold"/>
        </w:rPr>
        <w:t>Runoff retained</w:t>
      </w:r>
      <w:r w:rsidRPr="00FA6577">
        <w:rPr>
          <w:rStyle w:val="Bold"/>
        </w:rPr>
        <w:t xml:space="preserve"> from managed </w:t>
      </w:r>
      <w:r w:rsidR="00BE73C2" w:rsidRPr="00FA6577">
        <w:rPr>
          <w:rStyle w:val="Bold"/>
        </w:rPr>
        <w:t>direct</w:t>
      </w:r>
      <w:r w:rsidR="005B40DF" w:rsidRPr="00FA6577">
        <w:rPr>
          <w:rStyle w:val="Bold"/>
        </w:rPr>
        <w:t xml:space="preserve">ly </w:t>
      </w:r>
      <w:r w:rsidR="00BE73C2" w:rsidRPr="00FA6577">
        <w:rPr>
          <w:rStyle w:val="Bold"/>
        </w:rPr>
        <w:t xml:space="preserve">connected </w:t>
      </w:r>
      <w:r w:rsidRPr="00FA6577">
        <w:rPr>
          <w:rStyle w:val="Bold"/>
        </w:rPr>
        <w:t>impervious area (acre-in).</w:t>
      </w:r>
      <w:r w:rsidRPr="00D807A9">
        <w:t xml:space="preserve"> Multiply the </w:t>
      </w:r>
      <w:r w:rsidR="00BE73C2">
        <w:t>direct</w:t>
      </w:r>
      <w:r w:rsidR="005B40DF">
        <w:t xml:space="preserve">ly </w:t>
      </w:r>
      <w:r w:rsidR="00BE73C2">
        <w:t>connected</w:t>
      </w:r>
      <w:r w:rsidR="00BE73C2" w:rsidRPr="00D807A9">
        <w:t xml:space="preserve"> </w:t>
      </w:r>
      <w:r w:rsidRPr="00D807A9">
        <w:t>impervious area (acres) managed on Line 5 by the depth of retention standard (inches) on Line 6</w:t>
      </w:r>
      <w:r w:rsidR="006B24EC">
        <w:t>. Multiply this product by 0.95, which is the runoff coefficient for impervious surfaces</w:t>
      </w:r>
      <w:r w:rsidR="0062037C">
        <w:t>.</w:t>
      </w:r>
    </w:p>
    <w:p w:rsidR="0077784E" w:rsidRPr="00D807A9" w:rsidRDefault="0077784E" w:rsidP="005822D8">
      <w:pPr>
        <w:pStyle w:val="BodyText"/>
      </w:pPr>
      <w:r w:rsidRPr="00FA6577">
        <w:rPr>
          <w:rStyle w:val="Bold"/>
        </w:rPr>
        <w:t xml:space="preserve">Line 8 – </w:t>
      </w:r>
      <w:r w:rsidR="002B55E8" w:rsidRPr="00FA6577">
        <w:rPr>
          <w:rStyle w:val="Bold"/>
        </w:rPr>
        <w:t>Runoff</w:t>
      </w:r>
      <w:r w:rsidRPr="00FA6577">
        <w:rPr>
          <w:rStyle w:val="Bold"/>
        </w:rPr>
        <w:t xml:space="preserve"> reduction volume (MG)</w:t>
      </w:r>
      <w:r w:rsidR="0043213D" w:rsidRPr="00FA6577">
        <w:rPr>
          <w:rStyle w:val="Bold"/>
        </w:rPr>
        <w:t xml:space="preserve">. </w:t>
      </w:r>
      <w:r w:rsidR="006B24EC">
        <w:rPr>
          <w:bCs/>
        </w:rPr>
        <w:t>To convert acre-inches to million gallons (MG), m</w:t>
      </w:r>
      <w:r w:rsidRPr="00D807A9">
        <w:t>ultiply the retained runoff from managed impervious area on Line 7 by 0.02715.</w:t>
      </w:r>
    </w:p>
    <w:p w:rsidR="0077784E" w:rsidRPr="00D807A9" w:rsidRDefault="0077784E" w:rsidP="003859D2">
      <w:pPr>
        <w:pStyle w:val="Heading2"/>
      </w:pPr>
      <w:bookmarkStart w:id="139" w:name="_Toc243725255"/>
      <w:bookmarkStart w:id="140" w:name="_Toc243809437"/>
      <w:bookmarkStart w:id="141" w:name="_Toc285015601"/>
      <w:r w:rsidRPr="00D807A9">
        <w:t>Green Roofs</w:t>
      </w:r>
      <w:bookmarkEnd w:id="139"/>
      <w:bookmarkEnd w:id="140"/>
      <w:bookmarkEnd w:id="141"/>
    </w:p>
    <w:p w:rsidR="0062037C" w:rsidRDefault="0077784E" w:rsidP="005822D8">
      <w:pPr>
        <w:pStyle w:val="BodyText"/>
      </w:pPr>
      <w:r w:rsidRPr="00D807A9">
        <w:t>Green roofs</w:t>
      </w:r>
      <w:r w:rsidR="006B24EC">
        <w:t xml:space="preserve"> </w:t>
      </w:r>
      <w:r w:rsidR="00CA3CF9">
        <w:t xml:space="preserve">(also known as </w:t>
      </w:r>
      <w:r w:rsidR="006B24EC">
        <w:t>vegetated roofs</w:t>
      </w:r>
      <w:r w:rsidR="00CA3CF9">
        <w:t xml:space="preserve">, eco-roofs, </w:t>
      </w:r>
      <w:r w:rsidR="006E256E">
        <w:t>or</w:t>
      </w:r>
      <w:r w:rsidR="00CA3CF9">
        <w:t xml:space="preserve"> living roofs)</w:t>
      </w:r>
      <w:r w:rsidR="006B24EC">
        <w:t xml:space="preserve"> </w:t>
      </w:r>
      <w:r w:rsidR="00CA3CF9">
        <w:t xml:space="preserve">are rooftop stormwater management practices that typically consist of drought-resistant </w:t>
      </w:r>
      <w:r w:rsidR="00CA3CF9" w:rsidRPr="00CA3CF9">
        <w:t>vegetation</w:t>
      </w:r>
      <w:r w:rsidR="00CA3CF9">
        <w:t xml:space="preserve">, a </w:t>
      </w:r>
      <w:r w:rsidR="00CA3CF9" w:rsidRPr="00CA3CF9">
        <w:t>soil</w:t>
      </w:r>
      <w:r w:rsidR="00CA3CF9">
        <w:t xml:space="preserve"> </w:t>
      </w:r>
      <w:r w:rsidR="00CA3CF9" w:rsidRPr="00CA3CF9">
        <w:t xml:space="preserve">or growing medium, </w:t>
      </w:r>
      <w:r w:rsidR="00CA3CF9">
        <w:t>a drainage layer, and a waterproof</w:t>
      </w:r>
      <w:r w:rsidR="00CA3CF9" w:rsidRPr="00CA3CF9">
        <w:t xml:space="preserve"> membrane. </w:t>
      </w:r>
      <w:r w:rsidR="00FD05ED">
        <w:t xml:space="preserve">Green roofs have been shown to retain a portion of incident rainfall within the growing medium. The amount of </w:t>
      </w:r>
      <w:r w:rsidR="006E256E">
        <w:t xml:space="preserve">rainfall </w:t>
      </w:r>
      <w:r w:rsidR="00FD05ED">
        <w:t xml:space="preserve">stored </w:t>
      </w:r>
      <w:r w:rsidR="0013165B">
        <w:t>i</w:t>
      </w:r>
      <w:r w:rsidR="00FD05ED">
        <w:t xml:space="preserve">n a green roof depends </w:t>
      </w:r>
      <w:r w:rsidR="009C4534">
        <w:t>on</w:t>
      </w:r>
      <w:r w:rsidR="00FD05ED">
        <w:t xml:space="preserve"> a number of site specific factors</w:t>
      </w:r>
      <w:r w:rsidR="006E256E">
        <w:t>,</w:t>
      </w:r>
      <w:r w:rsidR="00FD05ED">
        <w:t xml:space="preserve"> including the roof slope and </w:t>
      </w:r>
      <w:r w:rsidR="006E256E">
        <w:t xml:space="preserve">the </w:t>
      </w:r>
      <w:r w:rsidR="00FD05ED">
        <w:t>type and depth of the growing medium</w:t>
      </w:r>
      <w:r w:rsidR="0043213D">
        <w:t xml:space="preserve">. </w:t>
      </w:r>
      <w:r w:rsidR="00D90892">
        <w:t xml:space="preserve">Local zoning and building codes should be consulted for any guidance on green roof </w:t>
      </w:r>
      <w:r w:rsidR="006E256E">
        <w:t>specifications</w:t>
      </w:r>
      <w:r w:rsidR="0062037C">
        <w:t>.</w:t>
      </w:r>
    </w:p>
    <w:p w:rsidR="0077784E" w:rsidRPr="00D807A9" w:rsidRDefault="0077784E" w:rsidP="005822D8">
      <w:pPr>
        <w:pStyle w:val="BodyText"/>
      </w:pPr>
      <w:r w:rsidRPr="00FA6577">
        <w:rPr>
          <w:rStyle w:val="Bold"/>
        </w:rPr>
        <w:lastRenderedPageBreak/>
        <w:t>Line 9 – 24-h</w:t>
      </w:r>
      <w:r w:rsidR="00C41493" w:rsidRPr="00FA6577">
        <w:rPr>
          <w:rStyle w:val="Bold"/>
        </w:rPr>
        <w:t>ou</w:t>
      </w:r>
      <w:r w:rsidRPr="00FA6577">
        <w:rPr>
          <w:rStyle w:val="Bold"/>
        </w:rPr>
        <w:t xml:space="preserve">r rainfall (inches) </w:t>
      </w:r>
      <w:r w:rsidRPr="00D807A9">
        <w:t>Enter the 24-h</w:t>
      </w:r>
      <w:r w:rsidR="00C41493">
        <w:t>ou</w:t>
      </w:r>
      <w:r w:rsidRPr="00D807A9">
        <w:t>r rainfall (inches) on Line 9 (Line 12 on Schedule 4: CSOVOL</w:t>
      </w:r>
      <w:r w:rsidR="0043213D">
        <w:t xml:space="preserve">. </w:t>
      </w:r>
      <w:r w:rsidRPr="00D807A9">
        <w:t>If you are using the electronic version of the form, this value will have been filled in automatically).</w:t>
      </w:r>
    </w:p>
    <w:p w:rsidR="0077784E" w:rsidRPr="00D807A9" w:rsidRDefault="0077784E" w:rsidP="005822D8">
      <w:pPr>
        <w:pStyle w:val="BodyText"/>
      </w:pPr>
      <w:r w:rsidRPr="00FA6577">
        <w:rPr>
          <w:rStyle w:val="Bold"/>
        </w:rPr>
        <w:t>Line 10</w:t>
      </w:r>
      <w:r w:rsidR="00705A0F" w:rsidRPr="00FA6577">
        <w:rPr>
          <w:rStyle w:val="Bold"/>
        </w:rPr>
        <w:t xml:space="preserve"> – </w:t>
      </w:r>
      <w:r w:rsidRPr="00FA6577">
        <w:rPr>
          <w:rStyle w:val="Bold"/>
        </w:rPr>
        <w:t xml:space="preserve">Number of existing buildings with green roofs </w:t>
      </w:r>
      <w:r w:rsidR="0013165B" w:rsidRPr="00FA6577">
        <w:rPr>
          <w:rStyle w:val="Bold"/>
        </w:rPr>
        <w:t>expected to be</w:t>
      </w:r>
      <w:r w:rsidRPr="00FA6577">
        <w:rPr>
          <w:rStyle w:val="Bold"/>
        </w:rPr>
        <w:t xml:space="preserve"> installed</w:t>
      </w:r>
      <w:r w:rsidR="0043213D" w:rsidRPr="00FA6577">
        <w:rPr>
          <w:rStyle w:val="Bold"/>
        </w:rPr>
        <w:t xml:space="preserve">. </w:t>
      </w:r>
      <w:r w:rsidRPr="00D807A9">
        <w:t xml:space="preserve">Enter the number of </w:t>
      </w:r>
      <w:r w:rsidRPr="004D23B9">
        <w:rPr>
          <w:rStyle w:val="italic"/>
        </w:rPr>
        <w:t>existing</w:t>
      </w:r>
      <w:r w:rsidRPr="00D807A9">
        <w:t xml:space="preserve"> </w:t>
      </w:r>
      <w:r w:rsidR="00BE73C2">
        <w:t>direct</w:t>
      </w:r>
      <w:r w:rsidR="005B40DF">
        <w:t xml:space="preserve">ly </w:t>
      </w:r>
      <w:r w:rsidR="00BE73C2">
        <w:t>connected</w:t>
      </w:r>
      <w:r w:rsidR="00BE73C2" w:rsidRPr="00D807A9">
        <w:t xml:space="preserve"> </w:t>
      </w:r>
      <w:r w:rsidRPr="00D807A9">
        <w:t xml:space="preserve">buildings </w:t>
      </w:r>
      <w:r w:rsidR="00FD05ED">
        <w:t>on</w:t>
      </w:r>
      <w:r w:rsidRPr="00D807A9">
        <w:t xml:space="preserve"> which green roofs are </w:t>
      </w:r>
      <w:r w:rsidR="00CA3CF9">
        <w:t xml:space="preserve">expected </w:t>
      </w:r>
      <w:r w:rsidRPr="00D807A9">
        <w:t>to be installed</w:t>
      </w:r>
      <w:r w:rsidR="00CA3CF9">
        <w:t xml:space="preserve"> over the previously established planning horizon</w:t>
      </w:r>
      <w:r w:rsidRPr="00D807A9">
        <w:t>.</w:t>
      </w:r>
    </w:p>
    <w:p w:rsidR="0062037C" w:rsidRDefault="0077784E" w:rsidP="005822D8">
      <w:pPr>
        <w:pStyle w:val="BodyText"/>
      </w:pPr>
      <w:r w:rsidRPr="00FA6577">
        <w:rPr>
          <w:rStyle w:val="Bold"/>
        </w:rPr>
        <w:t>Line 11 – Average roof area (sq ft) of buildings with</w:t>
      </w:r>
      <w:r w:rsidR="0013165B" w:rsidRPr="00FA6577">
        <w:rPr>
          <w:rStyle w:val="Bold"/>
        </w:rPr>
        <w:t xml:space="preserve"> green roofs expected to be install</w:t>
      </w:r>
      <w:r w:rsidR="006E256E" w:rsidRPr="00FA6577">
        <w:rPr>
          <w:rStyle w:val="Bold"/>
        </w:rPr>
        <w:t>ed</w:t>
      </w:r>
      <w:r w:rsidRPr="00FA6577">
        <w:rPr>
          <w:rStyle w:val="Bold"/>
        </w:rPr>
        <w:t xml:space="preserve">. </w:t>
      </w:r>
      <w:r w:rsidRPr="00D807A9">
        <w:t xml:space="preserve">The roof area of </w:t>
      </w:r>
      <w:r w:rsidR="00CA3CF9">
        <w:t>buildings can vary significantly.</w:t>
      </w:r>
      <w:r w:rsidRPr="00D807A9">
        <w:t xml:space="preserve"> </w:t>
      </w:r>
      <w:r w:rsidR="00FD05ED">
        <w:t>Residential roofs tend to be smaller than commercial and industrial rooftops</w:t>
      </w:r>
      <w:r w:rsidRPr="00D807A9">
        <w:t xml:space="preserve">. </w:t>
      </w:r>
      <w:r w:rsidR="00FD05ED">
        <w:t xml:space="preserve">Urban residential rooftops are often smaller than suburban </w:t>
      </w:r>
      <w:r w:rsidR="00705A0F">
        <w:t xml:space="preserve">residential </w:t>
      </w:r>
      <w:r w:rsidR="00FD05ED">
        <w:t>rooft</w:t>
      </w:r>
      <w:r w:rsidR="00D37078">
        <w:t>ops</w:t>
      </w:r>
      <w:r w:rsidR="0043213D">
        <w:t xml:space="preserve">. </w:t>
      </w:r>
      <w:r w:rsidR="00D37078">
        <w:t>An actual estimate of rooftop sizes</w:t>
      </w:r>
      <w:r w:rsidR="00D37078" w:rsidRPr="00D807A9">
        <w:t xml:space="preserve"> can sometimes be estimated from </w:t>
      </w:r>
      <w:smartTag w:uri="urn:schemas-microsoft-com:office:smarttags" w:element="stockticker">
        <w:r w:rsidR="00D37078" w:rsidRPr="00D807A9">
          <w:t>GIS</w:t>
        </w:r>
      </w:smartTag>
      <w:r w:rsidR="00D37078" w:rsidRPr="00D807A9">
        <w:t xml:space="preserve"> or from aerial photos</w:t>
      </w:r>
      <w:r w:rsidR="0043213D">
        <w:t xml:space="preserve">. </w:t>
      </w:r>
      <w:r w:rsidR="00C41493">
        <w:t>N</w:t>
      </w:r>
      <w:r w:rsidR="00D37078">
        <w:t>ote that s</w:t>
      </w:r>
      <w:r w:rsidR="00FD05ED">
        <w:t>ome rooftops, like those with steep slopes, m</w:t>
      </w:r>
      <w:r w:rsidR="00C41493">
        <w:t>ight</w:t>
      </w:r>
      <w:r w:rsidR="00FD05ED">
        <w:t xml:space="preserve"> not be as amenable to green roof installation</w:t>
      </w:r>
      <w:r w:rsidR="0043213D">
        <w:t xml:space="preserve">. </w:t>
      </w:r>
      <w:r w:rsidR="00FD05ED">
        <w:t>In addition, the permittee m</w:t>
      </w:r>
      <w:r w:rsidR="00C41493">
        <w:t>ight</w:t>
      </w:r>
      <w:r w:rsidR="00FD05ED">
        <w:t xml:space="preserve"> also wish to consider that green roofs are often not installed over the entire building roof area.</w:t>
      </w:r>
      <w:r w:rsidR="00D37078">
        <w:t xml:space="preserve"> Rooftop space </w:t>
      </w:r>
      <w:r w:rsidR="00C41493">
        <w:t xml:space="preserve">can </w:t>
      </w:r>
      <w:r w:rsidR="00D37078">
        <w:t>also be required for HVAC equipment, access</w:t>
      </w:r>
      <w:r w:rsidR="005F092A">
        <w:t xml:space="preserve"> structures</w:t>
      </w:r>
      <w:r w:rsidR="00D37078">
        <w:t>, or patios</w:t>
      </w:r>
      <w:r w:rsidR="00705A0F">
        <w:t xml:space="preserve">, </w:t>
      </w:r>
      <w:r w:rsidR="006E256E">
        <w:t xml:space="preserve">causing </w:t>
      </w:r>
      <w:r w:rsidR="00C41493">
        <w:t xml:space="preserve">such </w:t>
      </w:r>
      <w:r w:rsidR="006E256E">
        <w:t>areas to be</w:t>
      </w:r>
      <w:r w:rsidR="00705A0F">
        <w:t xml:space="preserve"> </w:t>
      </w:r>
      <w:r w:rsidR="006E256E">
        <w:t>un</w:t>
      </w:r>
      <w:r w:rsidR="00705A0F">
        <w:t>available for green roof applications</w:t>
      </w:r>
      <w:r w:rsidR="00D37078">
        <w:t>. Given all th</w:t>
      </w:r>
      <w:r w:rsidR="00C41493">
        <w:t>o</w:t>
      </w:r>
      <w:r w:rsidR="00D37078">
        <w:t>se considerations, e</w:t>
      </w:r>
      <w:r w:rsidRPr="00D807A9">
        <w:t xml:space="preserve">nter a value that is characteristic of </w:t>
      </w:r>
      <w:r w:rsidR="00D37078">
        <w:t xml:space="preserve">the potential green roof area of </w:t>
      </w:r>
      <w:r w:rsidR="00CA3CF9">
        <w:t>buildings</w:t>
      </w:r>
      <w:r w:rsidRPr="00D807A9">
        <w:t xml:space="preserve"> in the sub-sewershed(s)</w:t>
      </w:r>
      <w:r w:rsidR="0062037C">
        <w:t>.</w:t>
      </w:r>
    </w:p>
    <w:p w:rsidR="0062037C" w:rsidRDefault="0077784E" w:rsidP="005822D8">
      <w:pPr>
        <w:pStyle w:val="BodyText"/>
      </w:pPr>
      <w:r w:rsidRPr="00FA6577">
        <w:rPr>
          <w:rStyle w:val="Bold"/>
        </w:rPr>
        <w:t>Line 12</w:t>
      </w:r>
      <w:r w:rsidR="00705A0F" w:rsidRPr="00FA6577">
        <w:rPr>
          <w:rStyle w:val="Bold"/>
        </w:rPr>
        <w:t xml:space="preserve"> – </w:t>
      </w:r>
      <w:r w:rsidRPr="00FA6577">
        <w:rPr>
          <w:rStyle w:val="Bold"/>
        </w:rPr>
        <w:t>Average green roof runoff reduction rate</w:t>
      </w:r>
      <w:r w:rsidR="0043213D" w:rsidRPr="00FA6577">
        <w:rPr>
          <w:rStyle w:val="Bold"/>
        </w:rPr>
        <w:t xml:space="preserve">. </w:t>
      </w:r>
      <w:r w:rsidR="00705A0F">
        <w:rPr>
          <w:bCs/>
        </w:rPr>
        <w:t>T</w:t>
      </w:r>
      <w:r w:rsidR="00A120FE" w:rsidRPr="00A120FE">
        <w:rPr>
          <w:bCs/>
        </w:rPr>
        <w:t>he</w:t>
      </w:r>
      <w:r w:rsidR="00A120FE">
        <w:t xml:space="preserve"> runoff reduction potential of a </w:t>
      </w:r>
      <w:r w:rsidR="00A120FE">
        <w:t>green roof depends</w:t>
      </w:r>
      <w:r w:rsidR="00A120FE" w:rsidRPr="005822D8">
        <w:t xml:space="preserve"> on a number of site</w:t>
      </w:r>
      <w:r w:rsidR="00C41493" w:rsidRPr="005822D8">
        <w:t>-</w:t>
      </w:r>
      <w:r w:rsidR="00A120FE" w:rsidRPr="005822D8">
        <w:t>spec</w:t>
      </w:r>
      <w:r w:rsidR="00A120FE">
        <w:t>ific factors</w:t>
      </w:r>
      <w:r w:rsidR="006E256E">
        <w:t>,</w:t>
      </w:r>
      <w:r w:rsidR="00A120FE">
        <w:t xml:space="preserve"> including the roof slope and the type and depth of the growing medium</w:t>
      </w:r>
      <w:r w:rsidR="0043213D">
        <w:t xml:space="preserve">. </w:t>
      </w:r>
      <w:r w:rsidR="00C41493">
        <w:t>O</w:t>
      </w:r>
      <w:r w:rsidR="00A120FE">
        <w:t xml:space="preserve">n </w:t>
      </w:r>
      <w:r w:rsidR="00C41493" w:rsidRPr="00C41493">
        <w:t xml:space="preserve">the basis of </w:t>
      </w:r>
      <w:r w:rsidR="00A120FE">
        <w:t>a qualitative understanding of the types of green roofs to be installed in the sub-sewershed, select a runoff reduction rate from T</w:t>
      </w:r>
      <w:r w:rsidR="00CA3CF9">
        <w:t>able 3</w:t>
      </w:r>
      <w:r w:rsidR="00A120FE">
        <w:t xml:space="preserve"> and enter it on Line 12</w:t>
      </w:r>
      <w:r w:rsidR="0043213D">
        <w:t xml:space="preserve">. </w:t>
      </w:r>
      <w:r w:rsidR="00705A0F">
        <w:t>The permittee can use a runoff reduction rate that is higher than those listed in Table 3 only if it is appropriately documented</w:t>
      </w:r>
      <w:r w:rsidR="0062037C">
        <w:t>.</w:t>
      </w:r>
    </w:p>
    <w:p w:rsidR="0077784E" w:rsidRPr="00D807A9" w:rsidRDefault="0077784E" w:rsidP="005822D8">
      <w:pPr>
        <w:pStyle w:val="BodyText"/>
      </w:pPr>
      <w:r w:rsidRPr="00FA6577">
        <w:rPr>
          <w:rStyle w:val="Bold"/>
        </w:rPr>
        <w:t>Line 13</w:t>
      </w:r>
      <w:r w:rsidR="00705A0F" w:rsidRPr="00FA6577">
        <w:rPr>
          <w:rStyle w:val="Bold"/>
        </w:rPr>
        <w:t xml:space="preserve"> –</w:t>
      </w:r>
      <w:r w:rsidRPr="00FA6577">
        <w:rPr>
          <w:rStyle w:val="Bold"/>
        </w:rPr>
        <w:t xml:space="preserve"> Runoff to </w:t>
      </w:r>
      <w:smartTag w:uri="urn:schemas-microsoft-com:office:smarttags" w:element="stockticker">
        <w:r w:rsidRPr="00FA6577">
          <w:rPr>
            <w:rStyle w:val="Bold"/>
          </w:rPr>
          <w:t>CSS</w:t>
        </w:r>
      </w:smartTag>
      <w:r w:rsidRPr="00FA6577">
        <w:rPr>
          <w:rStyle w:val="Bold"/>
        </w:rPr>
        <w:t xml:space="preserve"> eliminated due to green roof installation</w:t>
      </w:r>
      <w:r w:rsidR="0043213D" w:rsidRPr="00FA6577">
        <w:rPr>
          <w:rStyle w:val="Bold"/>
        </w:rPr>
        <w:t xml:space="preserve">. </w:t>
      </w:r>
      <w:r w:rsidRPr="00D807A9">
        <w:t>Multiply the 24-h</w:t>
      </w:r>
      <w:r w:rsidR="00C41493">
        <w:t>ou</w:t>
      </w:r>
      <w:r w:rsidRPr="00D807A9">
        <w:t xml:space="preserve">r rainfall (Line 9) by </w:t>
      </w:r>
      <w:r w:rsidR="002D54C2">
        <w:t xml:space="preserve">the </w:t>
      </w:r>
      <w:r w:rsidRPr="00D807A9">
        <w:t xml:space="preserve">number of existing buildings with green roofs </w:t>
      </w:r>
      <w:r w:rsidR="002D54C2">
        <w:t xml:space="preserve">expected to be installed </w:t>
      </w:r>
      <w:r w:rsidRPr="00D807A9">
        <w:t xml:space="preserve">(Line 10) by </w:t>
      </w:r>
      <w:r w:rsidR="002D54C2">
        <w:t xml:space="preserve">the </w:t>
      </w:r>
      <w:r w:rsidRPr="00D807A9">
        <w:t xml:space="preserve">average roof area </w:t>
      </w:r>
      <w:r w:rsidR="006E256E">
        <w:t xml:space="preserve">of buildings </w:t>
      </w:r>
      <w:r w:rsidR="002D54C2">
        <w:t xml:space="preserve">with </w:t>
      </w:r>
      <w:r w:rsidR="006E256E">
        <w:t xml:space="preserve">green roofs </w:t>
      </w:r>
      <w:r w:rsidR="002D54C2">
        <w:t xml:space="preserve">expected to be installed </w:t>
      </w:r>
      <w:r w:rsidRPr="00D807A9">
        <w:t xml:space="preserve">(Line 11) by </w:t>
      </w:r>
      <w:r w:rsidR="002D54C2">
        <w:t xml:space="preserve">the </w:t>
      </w:r>
      <w:r w:rsidRPr="00D807A9">
        <w:t xml:space="preserve">average green roof reduction rate (Line 12). </w:t>
      </w:r>
      <w:r w:rsidR="00A73946">
        <w:t xml:space="preserve">Multiply this product by 0.5922 (this factor </w:t>
      </w:r>
      <w:r w:rsidR="00A73946">
        <w:t>includes the unit conversion to gallons</w:t>
      </w:r>
      <w:r w:rsidR="006E256E">
        <w:t>,</w:t>
      </w:r>
      <w:r w:rsidR="00A73946">
        <w:t xml:space="preserve"> as well as the impervious area runoff coefficient of 0.95). </w:t>
      </w:r>
    </w:p>
    <w:tbl>
      <w:tblPr>
        <w:tblpPr w:leftFromText="187" w:rightFromText="187" w:topFromText="86" w:bottomFromText="86" w:vertAnchor="page" w:horzAnchor="margin" w:tblpXSpec="right" w:tblpY="5401"/>
        <w:tblW w:w="64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29" w:type="dxa"/>
          <w:left w:w="86" w:type="dxa"/>
          <w:bottom w:w="29" w:type="dxa"/>
          <w:right w:w="86" w:type="dxa"/>
        </w:tblCellMar>
        <w:tblLook w:val="01E0" w:firstRow="1" w:lastRow="1" w:firstColumn="1" w:lastColumn="1" w:noHBand="0" w:noVBand="0"/>
      </w:tblPr>
      <w:tblGrid>
        <w:gridCol w:w="1448"/>
        <w:gridCol w:w="1268"/>
        <w:gridCol w:w="1882"/>
        <w:gridCol w:w="1878"/>
      </w:tblGrid>
      <w:tr w:rsidR="00381736" w:rsidRPr="00742A24" w:rsidTr="00146FEE">
        <w:tc>
          <w:tcPr>
            <w:tcW w:w="6476" w:type="dxa"/>
            <w:gridSpan w:val="4"/>
            <w:tcBorders>
              <w:top w:val="nil"/>
              <w:left w:val="nil"/>
              <w:bottom w:val="single" w:sz="6" w:space="0" w:color="auto"/>
              <w:right w:val="nil"/>
            </w:tcBorders>
            <w:tcMar>
              <w:left w:w="0" w:type="dxa"/>
              <w:right w:w="0" w:type="dxa"/>
            </w:tcMar>
          </w:tcPr>
          <w:p w:rsidR="00381736" w:rsidRPr="00742A24" w:rsidRDefault="00381736" w:rsidP="00146FEE">
            <w:pPr>
              <w:pStyle w:val="Caption"/>
              <w:jc w:val="both"/>
            </w:pPr>
            <w:r w:rsidRPr="00742A24">
              <w:t xml:space="preserve">Table 3. Average </w:t>
            </w:r>
            <w:r w:rsidR="007B3819">
              <w:t>g</w:t>
            </w:r>
            <w:r w:rsidRPr="00742A24">
              <w:t xml:space="preserve">reen </w:t>
            </w:r>
            <w:r w:rsidR="007B3819">
              <w:t>i</w:t>
            </w:r>
            <w:r w:rsidRPr="00742A24">
              <w:t xml:space="preserve">nfrastructure </w:t>
            </w:r>
            <w:r w:rsidR="007B3819">
              <w:t>p</w:t>
            </w:r>
            <w:r w:rsidRPr="00742A24">
              <w:t xml:space="preserve">ractice </w:t>
            </w:r>
            <w:r w:rsidR="007B3819">
              <w:t>r</w:t>
            </w:r>
            <w:r w:rsidRPr="00742A24">
              <w:t xml:space="preserve">unoff </w:t>
            </w:r>
            <w:r w:rsidR="007B3819">
              <w:t>r</w:t>
            </w:r>
            <w:r w:rsidRPr="00742A24">
              <w:t xml:space="preserve">eduction </w:t>
            </w:r>
            <w:r w:rsidR="007B3819">
              <w:t>r</w:t>
            </w:r>
            <w:r w:rsidRPr="00742A24">
              <w:t>ate</w:t>
            </w:r>
          </w:p>
        </w:tc>
      </w:tr>
      <w:tr w:rsidR="007D1C4A" w:rsidRPr="00742A24" w:rsidTr="00146FEE">
        <w:tc>
          <w:tcPr>
            <w:tcW w:w="1448" w:type="dxa"/>
            <w:vMerge w:val="restart"/>
            <w:tcBorders>
              <w:top w:val="single" w:sz="6" w:space="0" w:color="auto"/>
            </w:tcBorders>
            <w:vAlign w:val="bottom"/>
          </w:tcPr>
          <w:p w:rsidR="007D1C4A" w:rsidRPr="00803467" w:rsidRDefault="007D1C4A" w:rsidP="00146FEE">
            <w:pPr>
              <w:pStyle w:val="tabletext"/>
              <w:framePr w:hSpace="0" w:wrap="auto" w:vAnchor="margin" w:hAnchor="text" w:xAlign="left" w:yAlign="inline"/>
              <w:suppressOverlap w:val="0"/>
              <w:jc w:val="center"/>
              <w:rPr>
                <w:b/>
              </w:rPr>
            </w:pPr>
            <w:r w:rsidRPr="00803467">
              <w:rPr>
                <w:b/>
              </w:rPr>
              <w:t>Practice</w:t>
            </w:r>
          </w:p>
        </w:tc>
        <w:tc>
          <w:tcPr>
            <w:tcW w:w="1268" w:type="dxa"/>
            <w:vMerge w:val="restart"/>
            <w:tcBorders>
              <w:top w:val="single" w:sz="6" w:space="0" w:color="auto"/>
            </w:tcBorders>
            <w:vAlign w:val="bottom"/>
          </w:tcPr>
          <w:p w:rsidR="007D1C4A" w:rsidRPr="00803467" w:rsidRDefault="007D1C4A" w:rsidP="00985C6F">
            <w:pPr>
              <w:pStyle w:val="tabletext"/>
              <w:framePr w:hSpace="0" w:wrap="auto" w:vAnchor="margin" w:hAnchor="text" w:xAlign="left" w:yAlign="inline"/>
              <w:suppressOverlap w:val="0"/>
              <w:jc w:val="center"/>
              <w:rPr>
                <w:b/>
              </w:rPr>
            </w:pPr>
            <w:r w:rsidRPr="00803467">
              <w:rPr>
                <w:b/>
              </w:rPr>
              <w:t xml:space="preserve">Average </w:t>
            </w:r>
            <w:r w:rsidR="00ED1BC1" w:rsidRPr="00803467">
              <w:rPr>
                <w:b/>
              </w:rPr>
              <w:t>r</w:t>
            </w:r>
            <w:r w:rsidRPr="00803467">
              <w:rPr>
                <w:b/>
              </w:rPr>
              <w:t xml:space="preserve">unoff </w:t>
            </w:r>
            <w:r w:rsidR="00ED1BC1" w:rsidRPr="00803467">
              <w:rPr>
                <w:b/>
              </w:rPr>
              <w:t>r</w:t>
            </w:r>
            <w:r w:rsidRPr="00803467">
              <w:rPr>
                <w:b/>
              </w:rPr>
              <w:t xml:space="preserve">eduction </w:t>
            </w:r>
            <w:r w:rsidR="00ED1BC1" w:rsidRPr="00803467">
              <w:rPr>
                <w:b/>
              </w:rPr>
              <w:t>r</w:t>
            </w:r>
            <w:r w:rsidRPr="00803467">
              <w:rPr>
                <w:b/>
              </w:rPr>
              <w:t>ate</w:t>
            </w:r>
          </w:p>
        </w:tc>
        <w:tc>
          <w:tcPr>
            <w:tcW w:w="3760" w:type="dxa"/>
            <w:gridSpan w:val="2"/>
            <w:tcBorders>
              <w:top w:val="single" w:sz="6" w:space="0" w:color="auto"/>
            </w:tcBorders>
            <w:vAlign w:val="bottom"/>
          </w:tcPr>
          <w:p w:rsidR="007D1C4A" w:rsidRPr="00803467" w:rsidRDefault="007D1C4A" w:rsidP="00146FEE">
            <w:pPr>
              <w:pStyle w:val="tabletext"/>
              <w:framePr w:hSpace="0" w:wrap="auto" w:vAnchor="margin" w:hAnchor="text" w:xAlign="left" w:yAlign="inline"/>
              <w:suppressOverlap w:val="0"/>
              <w:jc w:val="center"/>
              <w:rPr>
                <w:b/>
              </w:rPr>
            </w:pPr>
            <w:r w:rsidRPr="00803467">
              <w:rPr>
                <w:b/>
              </w:rPr>
              <w:t xml:space="preserve">General </w:t>
            </w:r>
            <w:r w:rsidR="00ED1BC1" w:rsidRPr="00803467">
              <w:rPr>
                <w:b/>
              </w:rPr>
              <w:t>g</w:t>
            </w:r>
            <w:r w:rsidRPr="00803467">
              <w:rPr>
                <w:b/>
              </w:rPr>
              <w:t xml:space="preserve">uidance on </w:t>
            </w:r>
            <w:r w:rsidR="00ED1BC1" w:rsidRPr="00803467">
              <w:rPr>
                <w:b/>
              </w:rPr>
              <w:t>s</w:t>
            </w:r>
            <w:r w:rsidRPr="00803467">
              <w:rPr>
                <w:b/>
              </w:rPr>
              <w:t xml:space="preserve">election of </w:t>
            </w:r>
            <w:r w:rsidR="00ED1BC1" w:rsidRPr="00803467">
              <w:rPr>
                <w:b/>
              </w:rPr>
              <w:t>r</w:t>
            </w:r>
            <w:r w:rsidRPr="00803467">
              <w:rPr>
                <w:b/>
              </w:rPr>
              <w:t xml:space="preserve">unoff </w:t>
            </w:r>
            <w:r w:rsidR="00ED1BC1" w:rsidRPr="00803467">
              <w:rPr>
                <w:b/>
              </w:rPr>
              <w:t>r</w:t>
            </w:r>
            <w:r w:rsidRPr="00803467">
              <w:rPr>
                <w:b/>
              </w:rPr>
              <w:t xml:space="preserve">eduction </w:t>
            </w:r>
            <w:r w:rsidR="00ED1BC1" w:rsidRPr="00803467">
              <w:rPr>
                <w:b/>
              </w:rPr>
              <w:t>r</w:t>
            </w:r>
            <w:r w:rsidRPr="00803467">
              <w:rPr>
                <w:b/>
              </w:rPr>
              <w:t>ate</w:t>
            </w:r>
          </w:p>
        </w:tc>
      </w:tr>
      <w:tr w:rsidR="007D1C4A" w:rsidRPr="00742A24" w:rsidTr="00146FEE">
        <w:tc>
          <w:tcPr>
            <w:tcW w:w="1448" w:type="dxa"/>
            <w:vMerge/>
            <w:vAlign w:val="bottom"/>
          </w:tcPr>
          <w:p w:rsidR="007D1C4A" w:rsidRPr="00803467" w:rsidRDefault="007D1C4A" w:rsidP="00146FEE">
            <w:pPr>
              <w:pStyle w:val="tabletext"/>
              <w:framePr w:hSpace="0" w:wrap="auto" w:vAnchor="margin" w:hAnchor="text" w:xAlign="left" w:yAlign="inline"/>
              <w:suppressOverlap w:val="0"/>
              <w:jc w:val="center"/>
              <w:rPr>
                <w:b/>
              </w:rPr>
            </w:pPr>
          </w:p>
        </w:tc>
        <w:tc>
          <w:tcPr>
            <w:tcW w:w="1268" w:type="dxa"/>
            <w:vMerge/>
            <w:vAlign w:val="bottom"/>
          </w:tcPr>
          <w:p w:rsidR="007D1C4A" w:rsidRPr="00803467" w:rsidRDefault="007D1C4A" w:rsidP="00146FEE">
            <w:pPr>
              <w:pStyle w:val="tabletext"/>
              <w:framePr w:hSpace="0" w:wrap="auto" w:vAnchor="margin" w:hAnchor="text" w:xAlign="left" w:yAlign="inline"/>
              <w:suppressOverlap w:val="0"/>
              <w:jc w:val="center"/>
              <w:rPr>
                <w:b/>
              </w:rPr>
            </w:pPr>
          </w:p>
        </w:tc>
        <w:tc>
          <w:tcPr>
            <w:tcW w:w="1882" w:type="dxa"/>
            <w:tcBorders>
              <w:top w:val="single" w:sz="6" w:space="0" w:color="auto"/>
            </w:tcBorders>
            <w:vAlign w:val="bottom"/>
          </w:tcPr>
          <w:p w:rsidR="007D1C4A" w:rsidRPr="00803467" w:rsidRDefault="007D1C4A" w:rsidP="00146FEE">
            <w:pPr>
              <w:pStyle w:val="tabletext"/>
              <w:framePr w:hSpace="0" w:wrap="auto" w:vAnchor="margin" w:hAnchor="text" w:xAlign="left" w:yAlign="inline"/>
              <w:suppressOverlap w:val="0"/>
              <w:jc w:val="center"/>
              <w:rPr>
                <w:b/>
              </w:rPr>
            </w:pPr>
            <w:r w:rsidRPr="00803467">
              <w:rPr>
                <w:b/>
              </w:rPr>
              <w:t xml:space="preserve">When to </w:t>
            </w:r>
            <w:r w:rsidR="00ED1BC1" w:rsidRPr="00803467">
              <w:rPr>
                <w:b/>
              </w:rPr>
              <w:t>s</w:t>
            </w:r>
            <w:r w:rsidRPr="00803467">
              <w:rPr>
                <w:b/>
              </w:rPr>
              <w:t xml:space="preserve">elect </w:t>
            </w:r>
            <w:r w:rsidR="00ED1BC1" w:rsidRPr="00803467">
              <w:rPr>
                <w:b/>
              </w:rPr>
              <w:t>l</w:t>
            </w:r>
            <w:r w:rsidRPr="00803467">
              <w:rPr>
                <w:b/>
              </w:rPr>
              <w:t>ow</w:t>
            </w:r>
            <w:r w:rsidR="00ED1BC1" w:rsidRPr="00803467">
              <w:rPr>
                <w:b/>
              </w:rPr>
              <w:t>-e</w:t>
            </w:r>
            <w:r w:rsidRPr="00803467">
              <w:rPr>
                <w:b/>
              </w:rPr>
              <w:t xml:space="preserve">nd </w:t>
            </w:r>
            <w:r w:rsidR="00ED1BC1" w:rsidRPr="00803467">
              <w:rPr>
                <w:b/>
              </w:rPr>
              <w:t>v</w:t>
            </w:r>
            <w:r w:rsidRPr="00803467">
              <w:rPr>
                <w:b/>
              </w:rPr>
              <w:t>alues</w:t>
            </w:r>
          </w:p>
        </w:tc>
        <w:tc>
          <w:tcPr>
            <w:tcW w:w="1878" w:type="dxa"/>
            <w:tcBorders>
              <w:top w:val="single" w:sz="6" w:space="0" w:color="auto"/>
            </w:tcBorders>
            <w:vAlign w:val="bottom"/>
          </w:tcPr>
          <w:p w:rsidR="007D1C4A" w:rsidRPr="00803467" w:rsidRDefault="007D1C4A" w:rsidP="00146FEE">
            <w:pPr>
              <w:pStyle w:val="tabletext"/>
              <w:framePr w:hSpace="0" w:wrap="auto" w:vAnchor="margin" w:hAnchor="text" w:xAlign="left" w:yAlign="inline"/>
              <w:suppressOverlap w:val="0"/>
              <w:jc w:val="center"/>
              <w:rPr>
                <w:b/>
              </w:rPr>
            </w:pPr>
            <w:r w:rsidRPr="00803467">
              <w:rPr>
                <w:b/>
              </w:rPr>
              <w:t xml:space="preserve">When to </w:t>
            </w:r>
            <w:r w:rsidR="00ED1BC1" w:rsidRPr="00803467">
              <w:rPr>
                <w:b/>
              </w:rPr>
              <w:t>s</w:t>
            </w:r>
            <w:r w:rsidRPr="00803467">
              <w:rPr>
                <w:b/>
              </w:rPr>
              <w:t xml:space="preserve">elect </w:t>
            </w:r>
            <w:r w:rsidR="00ED1BC1" w:rsidRPr="00803467">
              <w:rPr>
                <w:b/>
              </w:rPr>
              <w:t>h</w:t>
            </w:r>
            <w:r w:rsidRPr="00803467">
              <w:rPr>
                <w:b/>
              </w:rPr>
              <w:t>igh</w:t>
            </w:r>
            <w:r w:rsidR="00ED1BC1" w:rsidRPr="00803467">
              <w:rPr>
                <w:b/>
              </w:rPr>
              <w:t>-e</w:t>
            </w:r>
            <w:r w:rsidRPr="00803467">
              <w:rPr>
                <w:b/>
              </w:rPr>
              <w:t xml:space="preserve">nd </w:t>
            </w:r>
            <w:r w:rsidR="00ED1BC1" w:rsidRPr="00803467">
              <w:rPr>
                <w:b/>
              </w:rPr>
              <w:t>v</w:t>
            </w:r>
            <w:r w:rsidRPr="00803467">
              <w:rPr>
                <w:b/>
              </w:rPr>
              <w:t>alues</w:t>
            </w:r>
          </w:p>
        </w:tc>
      </w:tr>
      <w:tr w:rsidR="007D1C4A" w:rsidRPr="00742A24" w:rsidTr="00146FEE">
        <w:tc>
          <w:tcPr>
            <w:tcW w:w="1448" w:type="dxa"/>
          </w:tcPr>
          <w:p w:rsidR="007D1C4A" w:rsidRPr="00742A24" w:rsidRDefault="007D1C4A" w:rsidP="00146FEE">
            <w:pPr>
              <w:pStyle w:val="tabletext"/>
              <w:framePr w:hSpace="0" w:wrap="auto" w:vAnchor="margin" w:hAnchor="text" w:xAlign="left" w:yAlign="inline"/>
              <w:suppressOverlap w:val="0"/>
            </w:pPr>
            <w:r w:rsidRPr="00742A24">
              <w:t>Green Roofs</w:t>
            </w:r>
          </w:p>
        </w:tc>
        <w:tc>
          <w:tcPr>
            <w:tcW w:w="1268" w:type="dxa"/>
          </w:tcPr>
          <w:p w:rsidR="007D1C4A" w:rsidRPr="00742A24" w:rsidRDefault="007D1C4A" w:rsidP="00146FEE">
            <w:pPr>
              <w:pStyle w:val="tabletext"/>
              <w:framePr w:hSpace="0" w:wrap="auto" w:vAnchor="margin" w:hAnchor="text" w:xAlign="left" w:yAlign="inline"/>
              <w:suppressOverlap w:val="0"/>
            </w:pPr>
            <w:r w:rsidRPr="00742A24">
              <w:t>0.45–0.60</w:t>
            </w:r>
          </w:p>
        </w:tc>
        <w:tc>
          <w:tcPr>
            <w:tcW w:w="1882" w:type="dxa"/>
          </w:tcPr>
          <w:p w:rsidR="007D1C4A" w:rsidRPr="00742A24" w:rsidRDefault="007D1C4A" w:rsidP="00146FEE">
            <w:pPr>
              <w:pStyle w:val="tabletext"/>
              <w:framePr w:hSpace="0" w:wrap="auto" w:vAnchor="margin" w:hAnchor="text" w:xAlign="left" w:yAlign="inline"/>
              <w:suppressOverlap w:val="0"/>
            </w:pPr>
            <w:r>
              <w:t>Sloped roofs predominate</w:t>
            </w:r>
          </w:p>
        </w:tc>
        <w:tc>
          <w:tcPr>
            <w:tcW w:w="1878" w:type="dxa"/>
          </w:tcPr>
          <w:p w:rsidR="007D1C4A" w:rsidRPr="00742A24" w:rsidRDefault="007D1C4A" w:rsidP="00146FEE">
            <w:pPr>
              <w:pStyle w:val="tabletext"/>
              <w:framePr w:hSpace="0" w:wrap="auto" w:vAnchor="margin" w:hAnchor="text" w:xAlign="left" w:yAlign="inline"/>
              <w:suppressOverlap w:val="0"/>
            </w:pPr>
            <w:r>
              <w:t>Flat roofs predominate</w:t>
            </w:r>
          </w:p>
        </w:tc>
      </w:tr>
      <w:tr w:rsidR="007D1C4A" w:rsidRPr="00742A24" w:rsidTr="00146FEE">
        <w:tc>
          <w:tcPr>
            <w:tcW w:w="1448" w:type="dxa"/>
          </w:tcPr>
          <w:p w:rsidR="007D1C4A" w:rsidRPr="00742A24" w:rsidRDefault="007D1C4A" w:rsidP="00146FEE">
            <w:pPr>
              <w:pStyle w:val="tabletext"/>
              <w:framePr w:hSpace="0" w:wrap="auto" w:vAnchor="margin" w:hAnchor="text" w:xAlign="left" w:yAlign="inline"/>
              <w:suppressOverlap w:val="0"/>
            </w:pPr>
            <w:r w:rsidRPr="00742A24">
              <w:t>Bioretention Facilities</w:t>
            </w:r>
          </w:p>
        </w:tc>
        <w:tc>
          <w:tcPr>
            <w:tcW w:w="1268" w:type="dxa"/>
          </w:tcPr>
          <w:p w:rsidR="007D1C4A" w:rsidRPr="00742A24" w:rsidRDefault="007D1C4A" w:rsidP="00146FEE">
            <w:pPr>
              <w:pStyle w:val="tabletext"/>
              <w:framePr w:hSpace="0" w:wrap="auto" w:vAnchor="margin" w:hAnchor="text" w:xAlign="left" w:yAlign="inline"/>
              <w:suppressOverlap w:val="0"/>
            </w:pPr>
            <w:r w:rsidRPr="00742A24">
              <w:t>0.40–0.80</w:t>
            </w:r>
          </w:p>
        </w:tc>
        <w:tc>
          <w:tcPr>
            <w:tcW w:w="1882" w:type="dxa"/>
          </w:tcPr>
          <w:p w:rsidR="007D1C4A" w:rsidRDefault="007D1C4A" w:rsidP="00146FEE">
            <w:pPr>
              <w:pStyle w:val="tabletext"/>
              <w:framePr w:hSpace="0" w:wrap="auto" w:vAnchor="margin" w:hAnchor="text" w:xAlign="left" w:yAlign="inline"/>
              <w:suppressOverlap w:val="0"/>
            </w:pPr>
            <w:r>
              <w:t>Poorly draining soils predominate</w:t>
            </w:r>
          </w:p>
          <w:p w:rsidR="00803467" w:rsidRDefault="00803467" w:rsidP="00146FEE">
            <w:pPr>
              <w:pStyle w:val="tabletext"/>
              <w:framePr w:hSpace="0" w:wrap="auto" w:vAnchor="margin" w:hAnchor="text" w:xAlign="left" w:yAlign="inline"/>
              <w:suppressOverlap w:val="0"/>
            </w:pPr>
          </w:p>
          <w:p w:rsidR="007D1C4A" w:rsidRPr="00742A24" w:rsidRDefault="007D1C4A" w:rsidP="00146FEE">
            <w:pPr>
              <w:pStyle w:val="tabletext"/>
              <w:framePr w:hSpace="0" w:wrap="auto" w:vAnchor="margin" w:hAnchor="text" w:xAlign="left" w:yAlign="inline"/>
              <w:suppressOverlap w:val="0"/>
            </w:pPr>
            <w:r>
              <w:t xml:space="preserve">Typical design </w:t>
            </w:r>
            <w:r w:rsidR="007B3819">
              <w:t>us</w:t>
            </w:r>
            <w:r>
              <w:t>es underdrains</w:t>
            </w:r>
          </w:p>
        </w:tc>
        <w:tc>
          <w:tcPr>
            <w:tcW w:w="1878" w:type="dxa"/>
          </w:tcPr>
          <w:p w:rsidR="007D1C4A" w:rsidRDefault="007D1C4A" w:rsidP="00146FEE">
            <w:pPr>
              <w:pStyle w:val="tabletext"/>
              <w:framePr w:hSpace="0" w:wrap="auto" w:vAnchor="margin" w:hAnchor="text" w:xAlign="left" w:yAlign="inline"/>
              <w:suppressOverlap w:val="0"/>
            </w:pPr>
            <w:r>
              <w:t>Well draining soils predominate</w:t>
            </w:r>
          </w:p>
          <w:p w:rsidR="00803467" w:rsidRDefault="00803467" w:rsidP="00146FEE">
            <w:pPr>
              <w:pStyle w:val="tabletext"/>
              <w:framePr w:hSpace="0" w:wrap="auto" w:vAnchor="margin" w:hAnchor="text" w:xAlign="left" w:yAlign="inline"/>
              <w:suppressOverlap w:val="0"/>
            </w:pPr>
          </w:p>
          <w:p w:rsidR="007D1C4A" w:rsidRPr="00742A24" w:rsidRDefault="007D1C4A" w:rsidP="00146FEE">
            <w:pPr>
              <w:pStyle w:val="tabletext"/>
              <w:framePr w:hSpace="0" w:wrap="auto" w:vAnchor="margin" w:hAnchor="text" w:xAlign="left" w:yAlign="inline"/>
              <w:suppressOverlap w:val="0"/>
            </w:pPr>
            <w:r>
              <w:t xml:space="preserve">Typical design does not </w:t>
            </w:r>
            <w:r w:rsidR="007B3819">
              <w:t>us</w:t>
            </w:r>
            <w:r>
              <w:t>e underdrains</w:t>
            </w:r>
          </w:p>
        </w:tc>
      </w:tr>
      <w:tr w:rsidR="007D1C4A" w:rsidRPr="00742A24" w:rsidTr="00146FEE">
        <w:tc>
          <w:tcPr>
            <w:tcW w:w="1448" w:type="dxa"/>
          </w:tcPr>
          <w:p w:rsidR="007D1C4A" w:rsidRPr="00742A24" w:rsidRDefault="007D1C4A" w:rsidP="00146FEE">
            <w:pPr>
              <w:pStyle w:val="tabletext"/>
              <w:framePr w:hSpace="0" w:wrap="auto" w:vAnchor="margin" w:hAnchor="text" w:xAlign="left" w:yAlign="inline"/>
              <w:suppressOverlap w:val="0"/>
            </w:pPr>
            <w:r w:rsidRPr="00742A24">
              <w:t>Vegetated Swales</w:t>
            </w:r>
          </w:p>
        </w:tc>
        <w:tc>
          <w:tcPr>
            <w:tcW w:w="1268" w:type="dxa"/>
          </w:tcPr>
          <w:p w:rsidR="007D1C4A" w:rsidRPr="00742A24" w:rsidRDefault="007D1C4A" w:rsidP="00146FEE">
            <w:pPr>
              <w:pStyle w:val="tabletext"/>
              <w:framePr w:hSpace="0" w:wrap="auto" w:vAnchor="margin" w:hAnchor="text" w:xAlign="left" w:yAlign="inline"/>
              <w:suppressOverlap w:val="0"/>
            </w:pPr>
            <w:r w:rsidRPr="00742A24">
              <w:t>0.40–0.60</w:t>
            </w:r>
          </w:p>
        </w:tc>
        <w:tc>
          <w:tcPr>
            <w:tcW w:w="1882" w:type="dxa"/>
          </w:tcPr>
          <w:p w:rsidR="007D1C4A" w:rsidRPr="00742A24" w:rsidRDefault="007D1C4A" w:rsidP="00146FEE">
            <w:pPr>
              <w:pStyle w:val="tabletext"/>
              <w:framePr w:hSpace="0" w:wrap="auto" w:vAnchor="margin" w:hAnchor="text" w:xAlign="left" w:yAlign="inline"/>
              <w:suppressOverlap w:val="0"/>
            </w:pPr>
            <w:r>
              <w:t>Poorly draining soils predominate</w:t>
            </w:r>
          </w:p>
        </w:tc>
        <w:tc>
          <w:tcPr>
            <w:tcW w:w="1878" w:type="dxa"/>
          </w:tcPr>
          <w:p w:rsidR="007D1C4A" w:rsidRPr="00742A24" w:rsidRDefault="007D1C4A" w:rsidP="00146FEE">
            <w:pPr>
              <w:pStyle w:val="tabletext"/>
              <w:framePr w:hSpace="0" w:wrap="auto" w:vAnchor="margin" w:hAnchor="text" w:xAlign="left" w:yAlign="inline"/>
              <w:suppressOverlap w:val="0"/>
            </w:pPr>
            <w:r>
              <w:t>Well draining soils predominate</w:t>
            </w:r>
          </w:p>
        </w:tc>
      </w:tr>
      <w:tr w:rsidR="007D1C4A" w:rsidRPr="00742A24" w:rsidTr="00146FEE">
        <w:tc>
          <w:tcPr>
            <w:tcW w:w="1448" w:type="dxa"/>
          </w:tcPr>
          <w:p w:rsidR="007D1C4A" w:rsidRPr="00742A24" w:rsidRDefault="007D1C4A" w:rsidP="00146FEE">
            <w:pPr>
              <w:pStyle w:val="tabletext"/>
              <w:framePr w:hSpace="0" w:wrap="auto" w:vAnchor="margin" w:hAnchor="text" w:xAlign="left" w:yAlign="inline"/>
              <w:suppressOverlap w:val="0"/>
            </w:pPr>
            <w:r w:rsidRPr="00742A24">
              <w:t>Permeable Pavement</w:t>
            </w:r>
          </w:p>
        </w:tc>
        <w:tc>
          <w:tcPr>
            <w:tcW w:w="1268" w:type="dxa"/>
          </w:tcPr>
          <w:p w:rsidR="007D1C4A" w:rsidRPr="00742A24" w:rsidRDefault="007D1C4A" w:rsidP="00146FEE">
            <w:pPr>
              <w:pStyle w:val="tabletext"/>
              <w:framePr w:hSpace="0" w:wrap="auto" w:vAnchor="margin" w:hAnchor="text" w:xAlign="left" w:yAlign="inline"/>
              <w:suppressOverlap w:val="0"/>
            </w:pPr>
            <w:r w:rsidRPr="00742A24">
              <w:t>0.45–0.75</w:t>
            </w:r>
          </w:p>
        </w:tc>
        <w:tc>
          <w:tcPr>
            <w:tcW w:w="1882" w:type="dxa"/>
          </w:tcPr>
          <w:p w:rsidR="007D1C4A" w:rsidRDefault="007D1C4A" w:rsidP="00146FEE">
            <w:pPr>
              <w:pStyle w:val="tabletext"/>
              <w:framePr w:hSpace="0" w:wrap="auto" w:vAnchor="margin" w:hAnchor="text" w:xAlign="left" w:yAlign="inline"/>
              <w:suppressOverlap w:val="0"/>
            </w:pPr>
            <w:r>
              <w:t>Poorly draining soils predominate</w:t>
            </w:r>
          </w:p>
          <w:p w:rsidR="00803467" w:rsidRDefault="00803467" w:rsidP="00146FEE">
            <w:pPr>
              <w:pStyle w:val="tabletext"/>
              <w:framePr w:hSpace="0" w:wrap="auto" w:vAnchor="margin" w:hAnchor="text" w:xAlign="left" w:yAlign="inline"/>
              <w:suppressOverlap w:val="0"/>
            </w:pPr>
          </w:p>
          <w:p w:rsidR="007D1C4A" w:rsidRPr="00742A24" w:rsidRDefault="007D1C4A" w:rsidP="00146FEE">
            <w:pPr>
              <w:pStyle w:val="tabletext"/>
              <w:framePr w:hSpace="0" w:wrap="auto" w:vAnchor="margin" w:hAnchor="text" w:xAlign="left" w:yAlign="inline"/>
              <w:suppressOverlap w:val="0"/>
            </w:pPr>
            <w:r>
              <w:t xml:space="preserve">Typical design </w:t>
            </w:r>
            <w:r w:rsidR="007B3819">
              <w:t>us</w:t>
            </w:r>
            <w:r>
              <w:t>es underdrains</w:t>
            </w:r>
          </w:p>
        </w:tc>
        <w:tc>
          <w:tcPr>
            <w:tcW w:w="1878" w:type="dxa"/>
          </w:tcPr>
          <w:p w:rsidR="007D1C4A" w:rsidRDefault="007D1C4A" w:rsidP="00146FEE">
            <w:pPr>
              <w:pStyle w:val="tabletext"/>
              <w:framePr w:hSpace="0" w:wrap="auto" w:vAnchor="margin" w:hAnchor="text" w:xAlign="left" w:yAlign="inline"/>
              <w:suppressOverlap w:val="0"/>
            </w:pPr>
            <w:r>
              <w:t>Well draining soils predominate</w:t>
            </w:r>
          </w:p>
          <w:p w:rsidR="00803467" w:rsidRDefault="00803467" w:rsidP="00146FEE">
            <w:pPr>
              <w:pStyle w:val="tabletext"/>
              <w:framePr w:hSpace="0" w:wrap="auto" w:vAnchor="margin" w:hAnchor="text" w:xAlign="left" w:yAlign="inline"/>
              <w:suppressOverlap w:val="0"/>
            </w:pPr>
          </w:p>
          <w:p w:rsidR="007D1C4A" w:rsidRPr="00742A24" w:rsidRDefault="007D1C4A" w:rsidP="00146FEE">
            <w:pPr>
              <w:pStyle w:val="tabletext"/>
              <w:framePr w:hSpace="0" w:wrap="auto" w:vAnchor="margin" w:hAnchor="text" w:xAlign="left" w:yAlign="inline"/>
              <w:suppressOverlap w:val="0"/>
            </w:pPr>
            <w:r>
              <w:t xml:space="preserve">Typical design does not </w:t>
            </w:r>
            <w:r w:rsidR="007B3819">
              <w:t>us</w:t>
            </w:r>
            <w:r>
              <w:t>e underdrains</w:t>
            </w:r>
          </w:p>
        </w:tc>
      </w:tr>
      <w:tr w:rsidR="007D1C4A" w:rsidRPr="00742A24" w:rsidTr="00146FEE">
        <w:tc>
          <w:tcPr>
            <w:tcW w:w="1448" w:type="dxa"/>
            <w:tcBorders>
              <w:bottom w:val="single" w:sz="6" w:space="0" w:color="auto"/>
            </w:tcBorders>
          </w:tcPr>
          <w:p w:rsidR="007D1C4A" w:rsidRPr="00742A24" w:rsidRDefault="007D1C4A" w:rsidP="00146FEE">
            <w:pPr>
              <w:pStyle w:val="tabletext"/>
              <w:framePr w:hSpace="0" w:wrap="auto" w:vAnchor="margin" w:hAnchor="text" w:xAlign="left" w:yAlign="inline"/>
              <w:suppressOverlap w:val="0"/>
            </w:pPr>
            <w:r w:rsidRPr="00742A24">
              <w:t>Rain Barrels and Cisterns</w:t>
            </w:r>
          </w:p>
        </w:tc>
        <w:tc>
          <w:tcPr>
            <w:tcW w:w="1268" w:type="dxa"/>
            <w:tcBorders>
              <w:bottom w:val="single" w:sz="6" w:space="0" w:color="auto"/>
            </w:tcBorders>
          </w:tcPr>
          <w:p w:rsidR="007D1C4A" w:rsidRPr="00742A24" w:rsidRDefault="007D1C4A" w:rsidP="00146FEE">
            <w:pPr>
              <w:pStyle w:val="tabletext"/>
              <w:framePr w:hSpace="0" w:wrap="auto" w:vAnchor="margin" w:hAnchor="text" w:xAlign="left" w:yAlign="inline"/>
              <w:suppressOverlap w:val="0"/>
            </w:pPr>
            <w:r>
              <w:t>0.10</w:t>
            </w:r>
            <w:r w:rsidR="001C31FD">
              <w:t>*</w:t>
            </w:r>
            <w:r w:rsidRPr="00742A24">
              <w:t>–0.40</w:t>
            </w:r>
          </w:p>
        </w:tc>
        <w:tc>
          <w:tcPr>
            <w:tcW w:w="1882" w:type="dxa"/>
            <w:tcBorders>
              <w:bottom w:val="single" w:sz="6" w:space="0" w:color="auto"/>
            </w:tcBorders>
          </w:tcPr>
          <w:p w:rsidR="007D1C4A" w:rsidRPr="00742A24" w:rsidRDefault="007D1C4A" w:rsidP="00146FEE">
            <w:pPr>
              <w:pStyle w:val="tabletext"/>
              <w:framePr w:hSpace="0" w:wrap="auto" w:vAnchor="margin" w:hAnchor="text" w:xAlign="left" w:yAlign="inline"/>
              <w:suppressOverlap w:val="0"/>
            </w:pPr>
            <w:r>
              <w:t>Residential rain barrels (50</w:t>
            </w:r>
            <w:r w:rsidR="00ED1BC1">
              <w:t>–</w:t>
            </w:r>
            <w:r>
              <w:t>150 gal) predominate</w:t>
            </w:r>
          </w:p>
        </w:tc>
        <w:tc>
          <w:tcPr>
            <w:tcW w:w="1878" w:type="dxa"/>
            <w:tcBorders>
              <w:bottom w:val="single" w:sz="6" w:space="0" w:color="auto"/>
            </w:tcBorders>
          </w:tcPr>
          <w:p w:rsidR="007D1C4A" w:rsidRPr="00742A24" w:rsidRDefault="007D1C4A" w:rsidP="00146FEE">
            <w:pPr>
              <w:pStyle w:val="tabletext"/>
              <w:framePr w:hSpace="0" w:wrap="auto" w:vAnchor="margin" w:hAnchor="text" w:xAlign="left" w:yAlign="inline"/>
              <w:suppressOverlap w:val="0"/>
            </w:pPr>
            <w:r>
              <w:t>Larger capacity rain tanks and cisterns (1,000 - 10,000 gal) predominate</w:t>
            </w:r>
          </w:p>
        </w:tc>
      </w:tr>
      <w:tr w:rsidR="007D1C4A" w:rsidRPr="00742A24" w:rsidTr="00146FEE">
        <w:trPr>
          <w:trHeight w:val="424"/>
        </w:trPr>
        <w:tc>
          <w:tcPr>
            <w:tcW w:w="6476" w:type="dxa"/>
            <w:gridSpan w:val="4"/>
            <w:tcBorders>
              <w:top w:val="single" w:sz="6" w:space="0" w:color="auto"/>
              <w:left w:val="nil"/>
              <w:bottom w:val="nil"/>
              <w:right w:val="nil"/>
            </w:tcBorders>
          </w:tcPr>
          <w:p w:rsidR="007D1C4A" w:rsidRPr="00742A24" w:rsidRDefault="007D1C4A" w:rsidP="00146FEE">
            <w:pPr>
              <w:pStyle w:val="tabletext"/>
              <w:framePr w:hSpace="0" w:wrap="auto" w:vAnchor="margin" w:hAnchor="text" w:xAlign="left" w:yAlign="inline"/>
              <w:suppressOverlap w:val="0"/>
            </w:pPr>
            <w:r w:rsidRPr="00742A24">
              <w:t>Source</w:t>
            </w:r>
            <w:r w:rsidR="001C31FD">
              <w:t>s</w:t>
            </w:r>
            <w:r w:rsidRPr="00742A24">
              <w:t xml:space="preserve">: </w:t>
            </w:r>
            <w:r w:rsidR="001C31FD">
              <w:t xml:space="preserve">*MWCOG 2001; all others </w:t>
            </w:r>
            <w:r w:rsidRPr="00742A24">
              <w:t>Schueler 2008</w:t>
            </w:r>
          </w:p>
        </w:tc>
      </w:tr>
    </w:tbl>
    <w:p w:rsidR="0077784E" w:rsidRPr="00D807A9" w:rsidRDefault="0077784E" w:rsidP="005822D8">
      <w:pPr>
        <w:pStyle w:val="BodyText"/>
      </w:pPr>
      <w:r w:rsidRPr="00FA6577">
        <w:rPr>
          <w:rStyle w:val="Bold"/>
        </w:rPr>
        <w:t>Line 14</w:t>
      </w:r>
      <w:r w:rsidR="00705A0F" w:rsidRPr="00FA6577">
        <w:rPr>
          <w:rStyle w:val="Bold"/>
        </w:rPr>
        <w:t xml:space="preserve"> – </w:t>
      </w:r>
      <w:r w:rsidRPr="00FA6577">
        <w:rPr>
          <w:rStyle w:val="Bold"/>
        </w:rPr>
        <w:t xml:space="preserve">Green roof </w:t>
      </w:r>
      <w:r w:rsidR="002B55E8" w:rsidRPr="00FA6577">
        <w:rPr>
          <w:rStyle w:val="Bold"/>
        </w:rPr>
        <w:t>runoff</w:t>
      </w:r>
      <w:r w:rsidRPr="00FA6577">
        <w:rPr>
          <w:rStyle w:val="Bold"/>
        </w:rPr>
        <w:t xml:space="preserve"> reduction volume (MG)</w:t>
      </w:r>
      <w:r w:rsidR="0043213D" w:rsidRPr="00FA6577">
        <w:rPr>
          <w:rStyle w:val="Bold"/>
        </w:rPr>
        <w:t xml:space="preserve">. </w:t>
      </w:r>
      <w:r w:rsidRPr="00D807A9">
        <w:t xml:space="preserve">Divide </w:t>
      </w:r>
      <w:r w:rsidR="006E256E">
        <w:t xml:space="preserve">the </w:t>
      </w:r>
      <w:r w:rsidRPr="00D807A9">
        <w:t xml:space="preserve">runoff to </w:t>
      </w:r>
      <w:r w:rsidR="002D54C2">
        <w:t xml:space="preserve">the </w:t>
      </w:r>
      <w:r w:rsidRPr="00D807A9">
        <w:t xml:space="preserve">CSS eliminated </w:t>
      </w:r>
      <w:r w:rsidR="00ED1BC1">
        <w:t>because of</w:t>
      </w:r>
      <w:r w:rsidRPr="00D807A9">
        <w:t xml:space="preserve"> green roof inst</w:t>
      </w:r>
      <w:r w:rsidR="00A120FE">
        <w:t>allation (Line 13) by 1,000,000 to convert from gallons to MG.</w:t>
      </w:r>
    </w:p>
    <w:p w:rsidR="0077784E" w:rsidRPr="00A73946" w:rsidRDefault="0077784E" w:rsidP="005822D8">
      <w:pPr>
        <w:pStyle w:val="BodyText"/>
      </w:pPr>
      <w:r w:rsidRPr="00FA6577">
        <w:rPr>
          <w:rStyle w:val="Bold"/>
        </w:rPr>
        <w:t>Line 15</w:t>
      </w:r>
      <w:r w:rsidR="00705A0F" w:rsidRPr="00FA6577">
        <w:rPr>
          <w:rStyle w:val="Bold"/>
        </w:rPr>
        <w:t xml:space="preserve"> – </w:t>
      </w:r>
      <w:r w:rsidRPr="00FA6577">
        <w:rPr>
          <w:rStyle w:val="Bold"/>
        </w:rPr>
        <w:t>Unit cost per square f</w:t>
      </w:r>
      <w:r w:rsidR="00A73946" w:rsidRPr="00FA6577">
        <w:rPr>
          <w:rStyle w:val="Bold"/>
        </w:rPr>
        <w:t>oot for green roof installation</w:t>
      </w:r>
      <w:r w:rsidR="0043213D" w:rsidRPr="00FA6577">
        <w:rPr>
          <w:rStyle w:val="Bold"/>
        </w:rPr>
        <w:t xml:space="preserve">. </w:t>
      </w:r>
      <w:r w:rsidR="00A73946" w:rsidRPr="00A73946">
        <w:t>Unit costs</w:t>
      </w:r>
      <w:r w:rsidR="00A73946">
        <w:t xml:space="preserve"> for green roof installations can vary significantly</w:t>
      </w:r>
      <w:r w:rsidR="0043213D">
        <w:t xml:space="preserve">. </w:t>
      </w:r>
      <w:r w:rsidR="00A73946">
        <w:t>Enter a cost that reflects local conditions</w:t>
      </w:r>
      <w:r w:rsidR="00286856">
        <w:t>.</w:t>
      </w:r>
    </w:p>
    <w:p w:rsidR="0077784E" w:rsidRPr="0043315A" w:rsidRDefault="0077784E" w:rsidP="005822D8">
      <w:pPr>
        <w:pStyle w:val="BodyText"/>
      </w:pPr>
      <w:r w:rsidRPr="00FA6577">
        <w:rPr>
          <w:rStyle w:val="Bold"/>
        </w:rPr>
        <w:t>Line 16</w:t>
      </w:r>
      <w:r w:rsidR="00705A0F" w:rsidRPr="00FA6577">
        <w:rPr>
          <w:rStyle w:val="Bold"/>
        </w:rPr>
        <w:t xml:space="preserve"> – </w:t>
      </w:r>
      <w:r w:rsidRPr="00FA6577">
        <w:rPr>
          <w:rStyle w:val="Bold"/>
        </w:rPr>
        <w:t>Fraction of publicly owned or subsidized buildings with green roofs</w:t>
      </w:r>
      <w:r w:rsidR="0043213D" w:rsidRPr="00FA6577">
        <w:rPr>
          <w:rStyle w:val="Bold"/>
        </w:rPr>
        <w:t xml:space="preserve">. </w:t>
      </w:r>
      <w:r w:rsidR="0043315A" w:rsidRPr="0043315A">
        <w:t>Determine the number of publicly owned buildings</w:t>
      </w:r>
      <w:r w:rsidR="0043315A">
        <w:t xml:space="preserve"> that will be retrofitted with a green roof and add to it any privately owned buildings for which green roofs are </w:t>
      </w:r>
      <w:r w:rsidR="00A73946">
        <w:t xml:space="preserve">expected to be </w:t>
      </w:r>
      <w:r w:rsidR="0043315A">
        <w:t xml:space="preserve">partially or wholly subsidized </w:t>
      </w:r>
      <w:r w:rsidR="0043315A">
        <w:lastRenderedPageBreak/>
        <w:t xml:space="preserve">with public funds. </w:t>
      </w:r>
      <w:r w:rsidR="009D4572">
        <w:t>For private installations, c</w:t>
      </w:r>
      <w:r w:rsidR="0043315A">
        <w:t xml:space="preserve">ount only the portion of the total green roof installation cost that is publicly funded </w:t>
      </w:r>
      <w:r w:rsidR="00583CBC">
        <w:t>(</w:t>
      </w:r>
      <w:r w:rsidR="00583CBC" w:rsidRPr="007B3819">
        <w:rPr>
          <w:iCs/>
        </w:rPr>
        <w:t>i.e.</w:t>
      </w:r>
      <w:r w:rsidR="00583CBC" w:rsidRPr="004D23B9">
        <w:rPr>
          <w:rStyle w:val="italic"/>
        </w:rPr>
        <w:t>,</w:t>
      </w:r>
      <w:r w:rsidR="00583CBC">
        <w:t xml:space="preserve"> if a public subsidy pays for 10</w:t>
      </w:r>
      <w:r w:rsidR="00C41493">
        <w:t xml:space="preserve"> percent</w:t>
      </w:r>
      <w:r w:rsidR="00583CBC">
        <w:t xml:space="preserve"> of a typical installation, count </w:t>
      </w:r>
      <w:r w:rsidR="00C41493">
        <w:t xml:space="preserve">only </w:t>
      </w:r>
      <w:r w:rsidR="00583CBC">
        <w:t>10</w:t>
      </w:r>
      <w:r w:rsidR="00C41493">
        <w:t xml:space="preserve"> percent </w:t>
      </w:r>
      <w:r w:rsidR="00583CBC">
        <w:t>of that installation)</w:t>
      </w:r>
      <w:r w:rsidR="00286856">
        <w:t xml:space="preserve">. </w:t>
      </w:r>
      <w:r w:rsidR="007B3819">
        <w:t>The p</w:t>
      </w:r>
      <w:r w:rsidR="00286856">
        <w:t xml:space="preserve">ermittee </w:t>
      </w:r>
      <w:r w:rsidR="007B3819">
        <w:t>might</w:t>
      </w:r>
      <w:r w:rsidR="00286856">
        <w:t xml:space="preserve"> also </w:t>
      </w:r>
      <w:r w:rsidR="00C35BD7">
        <w:t>need</w:t>
      </w:r>
      <w:r w:rsidR="00286856">
        <w:t xml:space="preserve"> to co</w:t>
      </w:r>
      <w:r w:rsidR="00C35BD7">
        <w:t>nsider</w:t>
      </w:r>
      <w:r w:rsidR="00286856">
        <w:t xml:space="preserve"> the </w:t>
      </w:r>
      <w:r w:rsidR="00FE7EC9">
        <w:t xml:space="preserve">incentive </w:t>
      </w:r>
      <w:r w:rsidR="00286856">
        <w:t xml:space="preserve">cost </w:t>
      </w:r>
      <w:r w:rsidR="00FE7EC9">
        <w:t>to install green roof in the public property and any related cost for future maintenance.</w:t>
      </w:r>
    </w:p>
    <w:p w:rsidR="0062037C" w:rsidRDefault="0077784E" w:rsidP="005822D8">
      <w:pPr>
        <w:pStyle w:val="BodyText"/>
      </w:pPr>
      <w:r w:rsidRPr="00FA6577">
        <w:rPr>
          <w:rStyle w:val="Bold"/>
        </w:rPr>
        <w:t>Line 17</w:t>
      </w:r>
      <w:r w:rsidR="00705A0F" w:rsidRPr="00FA6577">
        <w:rPr>
          <w:rStyle w:val="Bold"/>
        </w:rPr>
        <w:t xml:space="preserve"> – </w:t>
      </w:r>
      <w:r w:rsidRPr="00FA6577">
        <w:rPr>
          <w:rStyle w:val="Bold"/>
        </w:rPr>
        <w:t>Estimated public cost of cumulative green roof installation</w:t>
      </w:r>
      <w:r w:rsidR="0043213D" w:rsidRPr="00FA6577">
        <w:rPr>
          <w:rStyle w:val="Bold"/>
        </w:rPr>
        <w:t xml:space="preserve">. </w:t>
      </w:r>
      <w:r w:rsidR="00BD7C32" w:rsidRPr="00BD7C32">
        <w:t xml:space="preserve">Some of the costs of green roofs will be borne by private </w:t>
      </w:r>
      <w:r w:rsidR="002D54C2">
        <w:t>entities</w:t>
      </w:r>
      <w:r w:rsidR="00BD7C32" w:rsidRPr="00BD7C32">
        <w:t xml:space="preserve"> and will not be borne by</w:t>
      </w:r>
      <w:r w:rsidR="00BD7C32" w:rsidRPr="00FA6577">
        <w:rPr>
          <w:rStyle w:val="Bold"/>
        </w:rPr>
        <w:t xml:space="preserve"> </w:t>
      </w:r>
      <w:r w:rsidR="00BD7C32" w:rsidRPr="00BD7C32">
        <w:t>the permittee.</w:t>
      </w:r>
      <w:r w:rsidR="00BD7C32" w:rsidRPr="00FA6577">
        <w:rPr>
          <w:rStyle w:val="Bold"/>
        </w:rPr>
        <w:t xml:space="preserve"> </w:t>
      </w:r>
      <w:r w:rsidR="00BD7C32">
        <w:t>To determine the cost to the permittee</w:t>
      </w:r>
      <w:r w:rsidR="00C41493">
        <w:t>,</w:t>
      </w:r>
      <w:r w:rsidR="006E256E">
        <w:t xml:space="preserve"> </w:t>
      </w:r>
      <w:r w:rsidR="00BD7C32">
        <w:t>m</w:t>
      </w:r>
      <w:r w:rsidRPr="00D807A9">
        <w:t xml:space="preserve">ultiply </w:t>
      </w:r>
      <w:r w:rsidR="002D54C2">
        <w:t xml:space="preserve">the </w:t>
      </w:r>
      <w:r w:rsidRPr="00D807A9">
        <w:t xml:space="preserve">number of existing buildings </w:t>
      </w:r>
      <w:r w:rsidR="002D54C2">
        <w:t xml:space="preserve">with </w:t>
      </w:r>
      <w:r w:rsidRPr="00D807A9">
        <w:t xml:space="preserve">green roofs </w:t>
      </w:r>
      <w:r w:rsidR="002D54C2">
        <w:t xml:space="preserve">expected to be installed </w:t>
      </w:r>
      <w:r w:rsidRPr="00D807A9">
        <w:t xml:space="preserve">(Line 10) by </w:t>
      </w:r>
      <w:r w:rsidR="002D54C2">
        <w:t>the</w:t>
      </w:r>
      <w:r w:rsidRPr="00D807A9">
        <w:t xml:space="preserve"> average roof area (sq ft) of buildings with green roofs </w:t>
      </w:r>
      <w:r w:rsidR="002D54C2">
        <w:t xml:space="preserve">expected to </w:t>
      </w:r>
      <w:r w:rsidRPr="00D807A9">
        <w:t>be installed (Line 11) by unit cost per square foot for green roof installation (Line 15) by fraction of publicly owned or subsidized buildings with green roofs</w:t>
      </w:r>
      <w:r w:rsidR="00A73946">
        <w:t xml:space="preserve"> (Line 16)</w:t>
      </w:r>
      <w:r w:rsidR="0062037C">
        <w:t>.</w:t>
      </w:r>
    </w:p>
    <w:p w:rsidR="0077784E" w:rsidRPr="00D807A9" w:rsidRDefault="0077784E" w:rsidP="003859D2">
      <w:pPr>
        <w:pStyle w:val="Heading2"/>
      </w:pPr>
      <w:bookmarkStart w:id="142" w:name="_Toc243725256"/>
      <w:bookmarkStart w:id="143" w:name="_Toc243809438"/>
      <w:bookmarkStart w:id="144" w:name="_Toc285015602"/>
      <w:r w:rsidRPr="00D807A9">
        <w:t>Bioretention</w:t>
      </w:r>
      <w:bookmarkEnd w:id="142"/>
      <w:bookmarkEnd w:id="143"/>
      <w:bookmarkEnd w:id="144"/>
    </w:p>
    <w:p w:rsidR="0062037C" w:rsidRDefault="00702019" w:rsidP="005822D8">
      <w:pPr>
        <w:pStyle w:val="BodyText"/>
      </w:pPr>
      <w:r>
        <w:t xml:space="preserve">Bioretention facilities (or rain gardens) typically </w:t>
      </w:r>
      <w:r w:rsidR="00BD7C32">
        <w:t xml:space="preserve">consist of </w:t>
      </w:r>
      <w:r>
        <w:t>engineered, shallow, vegetated depressions that are used to</w:t>
      </w:r>
      <w:r w:rsidRPr="00702019">
        <w:t xml:space="preserve"> manage stormwater runoff</w:t>
      </w:r>
      <w:r w:rsidR="00141D8F">
        <w:t xml:space="preserve"> from impervious surfaces including rooftops, streetscapes, and parking lots</w:t>
      </w:r>
      <w:r w:rsidR="0043213D">
        <w:t xml:space="preserve">. </w:t>
      </w:r>
      <w:r>
        <w:t>Bioretention facilities provide</w:t>
      </w:r>
      <w:r w:rsidRPr="00702019">
        <w:t xml:space="preserve"> stormwater quantity control</w:t>
      </w:r>
      <w:r>
        <w:t xml:space="preserve"> through runoff </w:t>
      </w:r>
      <w:r w:rsidRPr="00702019">
        <w:t xml:space="preserve">capture, infiltration, </w:t>
      </w:r>
      <w:r>
        <w:t>and evapotranspiration</w:t>
      </w:r>
      <w:r w:rsidR="0062037C">
        <w:t>.</w:t>
      </w:r>
    </w:p>
    <w:p w:rsidR="00A73946" w:rsidRPr="00702019" w:rsidRDefault="00702019" w:rsidP="005822D8">
      <w:pPr>
        <w:pStyle w:val="BodyText"/>
      </w:pPr>
      <w:r>
        <w:t>Bioretention designs can vary significantly by size, depth, engineered soil characteristics,</w:t>
      </w:r>
      <w:r w:rsidR="00DC63F8">
        <w:t xml:space="preserve"> plant selection,</w:t>
      </w:r>
      <w:r>
        <w:t xml:space="preserve"> and the presence and location of any subsurface drainage structures</w:t>
      </w:r>
      <w:r w:rsidR="0043213D">
        <w:t xml:space="preserve">. </w:t>
      </w:r>
      <w:r>
        <w:t>Performance is highly site dependent</w:t>
      </w:r>
      <w:r w:rsidR="00141D8F">
        <w:t xml:space="preserve"> and is affected by </w:t>
      </w:r>
      <w:r w:rsidR="00141D8F">
        <w:t>design parameters</w:t>
      </w:r>
      <w:r w:rsidR="00C41493">
        <w:t xml:space="preserve"> and</w:t>
      </w:r>
      <w:r w:rsidR="00BD7C32">
        <w:t xml:space="preserve"> </w:t>
      </w:r>
      <w:r w:rsidR="007E3F06">
        <w:t>local conditions</w:t>
      </w:r>
      <w:r w:rsidR="00BD7C32">
        <w:t>,</w:t>
      </w:r>
      <w:r w:rsidR="007E3F06">
        <w:t xml:space="preserve"> including topography and the </w:t>
      </w:r>
      <w:r w:rsidR="00141D8F">
        <w:t xml:space="preserve">infiltration capacity of </w:t>
      </w:r>
      <w:r w:rsidR="007E3F06">
        <w:t>surrounding</w:t>
      </w:r>
      <w:r w:rsidR="00141D8F">
        <w:t xml:space="preserve"> soils</w:t>
      </w:r>
      <w:r w:rsidR="0043213D">
        <w:t xml:space="preserve">. </w:t>
      </w:r>
      <w:r w:rsidR="00D90892">
        <w:t xml:space="preserve">Local zoning and building codes should be consulted for any guidance on bioretention facility </w:t>
      </w:r>
      <w:r w:rsidR="00BD7C32">
        <w:t>specifications</w:t>
      </w:r>
      <w:r w:rsidR="00D90892">
        <w:t>.</w:t>
      </w:r>
    </w:p>
    <w:p w:rsidR="0077784E" w:rsidRPr="00D807A9" w:rsidRDefault="0077784E" w:rsidP="005822D8">
      <w:pPr>
        <w:pStyle w:val="BodyText"/>
      </w:pPr>
      <w:r w:rsidRPr="00FA6577">
        <w:rPr>
          <w:rStyle w:val="Bold"/>
        </w:rPr>
        <w:t>Line18</w:t>
      </w:r>
      <w:r w:rsidRPr="00D807A9">
        <w:t xml:space="preserve"> </w:t>
      </w:r>
      <w:r w:rsidRPr="00FA6577">
        <w:rPr>
          <w:rStyle w:val="Bold"/>
        </w:rPr>
        <w:t xml:space="preserve">– Number of bioretention facilities being installed. </w:t>
      </w:r>
      <w:r w:rsidRPr="00D807A9">
        <w:t xml:space="preserve">Enter number of bioretention retrofits </w:t>
      </w:r>
      <w:r w:rsidR="006C6AD3">
        <w:t>expected to be</w:t>
      </w:r>
      <w:r w:rsidRPr="00D807A9">
        <w:t xml:space="preserve"> installed</w:t>
      </w:r>
      <w:r w:rsidR="00141D8F">
        <w:t xml:space="preserve"> over the previously established planning horizon to manage runoff from </w:t>
      </w:r>
      <w:r w:rsidR="00141D8F" w:rsidRPr="004D23B9">
        <w:rPr>
          <w:rStyle w:val="italic"/>
        </w:rPr>
        <w:t>existing</w:t>
      </w:r>
      <w:r w:rsidR="00141D8F" w:rsidRPr="00D807A9">
        <w:t xml:space="preserve"> </w:t>
      </w:r>
      <w:r w:rsidR="00D6082B">
        <w:t>direct</w:t>
      </w:r>
      <w:r w:rsidR="005B40DF">
        <w:t xml:space="preserve">ly </w:t>
      </w:r>
      <w:r w:rsidR="00D6082B">
        <w:t xml:space="preserve">connected </w:t>
      </w:r>
      <w:r w:rsidR="00141D8F">
        <w:t>impervious areas</w:t>
      </w:r>
      <w:r w:rsidR="00141D8F" w:rsidRPr="00D807A9">
        <w:t>.</w:t>
      </w:r>
    </w:p>
    <w:p w:rsidR="0062037C" w:rsidRDefault="0077784E" w:rsidP="005822D8">
      <w:pPr>
        <w:pStyle w:val="BodyText"/>
      </w:pPr>
      <w:r w:rsidRPr="00FA6577">
        <w:rPr>
          <w:rStyle w:val="Bold"/>
        </w:rPr>
        <w:t>Line 19</w:t>
      </w:r>
      <w:r w:rsidR="00705A0F" w:rsidRPr="00FA6577">
        <w:rPr>
          <w:rStyle w:val="Bold"/>
        </w:rPr>
        <w:t xml:space="preserve"> </w:t>
      </w:r>
      <w:r w:rsidRPr="00FA6577">
        <w:rPr>
          <w:rStyle w:val="Bold"/>
        </w:rPr>
        <w:t xml:space="preserve">– Average </w:t>
      </w:r>
      <w:r w:rsidR="00D6082B" w:rsidRPr="00FA6577">
        <w:rPr>
          <w:rStyle w:val="Bold"/>
        </w:rPr>
        <w:t>direct</w:t>
      </w:r>
      <w:r w:rsidR="005B40DF" w:rsidRPr="00FA6577">
        <w:rPr>
          <w:rStyle w:val="Bold"/>
        </w:rPr>
        <w:t xml:space="preserve">ly </w:t>
      </w:r>
      <w:r w:rsidR="00D6082B" w:rsidRPr="00FA6577">
        <w:rPr>
          <w:rStyle w:val="Bold"/>
        </w:rPr>
        <w:t xml:space="preserve">connected </w:t>
      </w:r>
      <w:r w:rsidRPr="00FA6577">
        <w:rPr>
          <w:rStyle w:val="Bold"/>
        </w:rPr>
        <w:t>impervious area (sq ft) being managed by each bioretention facility.</w:t>
      </w:r>
      <w:r w:rsidRPr="00D807A9">
        <w:t xml:space="preserve"> </w:t>
      </w:r>
      <w:r w:rsidR="007E3F06">
        <w:t xml:space="preserve">The size </w:t>
      </w:r>
      <w:r w:rsidR="004508BB">
        <w:t xml:space="preserve">and design </w:t>
      </w:r>
      <w:r w:rsidR="007E3F06">
        <w:t>of bioretention facilities can vary significantly</w:t>
      </w:r>
      <w:r w:rsidR="004508BB">
        <w:t xml:space="preserve">, </w:t>
      </w:r>
      <w:r w:rsidR="006C6AD3">
        <w:t>thus</w:t>
      </w:r>
      <w:r w:rsidR="004508BB">
        <w:t xml:space="preserve"> influenc</w:t>
      </w:r>
      <w:r w:rsidR="006C6AD3">
        <w:t>ing</w:t>
      </w:r>
      <w:r w:rsidR="004508BB">
        <w:t xml:space="preserve"> the </w:t>
      </w:r>
      <w:r w:rsidR="006C6AD3">
        <w:t>size of the</w:t>
      </w:r>
      <w:r w:rsidR="004508BB">
        <w:t xml:space="preserve"> drainage area</w:t>
      </w:r>
      <w:r w:rsidR="006C6AD3">
        <w:t xml:space="preserve"> managed</w:t>
      </w:r>
      <w:r w:rsidR="007E3F06">
        <w:t>.</w:t>
      </w:r>
      <w:r w:rsidR="007E3F06" w:rsidRPr="00D807A9">
        <w:t xml:space="preserve"> </w:t>
      </w:r>
      <w:r w:rsidR="00F860B6">
        <w:t xml:space="preserve">Most bioretention facilities are sized </w:t>
      </w:r>
      <w:r w:rsidR="004508BB">
        <w:t xml:space="preserve">and designed </w:t>
      </w:r>
      <w:r w:rsidR="00F860B6">
        <w:t xml:space="preserve">according to the </w:t>
      </w:r>
      <w:r w:rsidR="004508BB">
        <w:t>available space and the drainage area</w:t>
      </w:r>
      <w:r w:rsidR="00D90892">
        <w:t xml:space="preserve"> to be managed</w:t>
      </w:r>
      <w:r w:rsidR="004508BB">
        <w:t xml:space="preserve">. </w:t>
      </w:r>
      <w:r w:rsidR="00F860B6">
        <w:t>Depending on the characteristics of the drainage area</w:t>
      </w:r>
      <w:r w:rsidR="004508BB">
        <w:t>, the bioretention facility footprint is typically 5 to 15</w:t>
      </w:r>
      <w:r w:rsidR="004C14D4">
        <w:t xml:space="preserve"> percent</w:t>
      </w:r>
      <w:r w:rsidR="004508BB">
        <w:t xml:space="preserve"> of the contributing </w:t>
      </w:r>
      <w:r w:rsidR="00997899">
        <w:t xml:space="preserve">impervious </w:t>
      </w:r>
      <w:r w:rsidR="004508BB">
        <w:t xml:space="preserve">area being managed. </w:t>
      </w:r>
      <w:r w:rsidR="00D90892">
        <w:t xml:space="preserve">In general, a bioretention facility drainage area should not exceed 3 to </w:t>
      </w:r>
      <w:smartTag w:uri="urn:schemas-microsoft-com:office:smarttags" w:element="metricconverter">
        <w:smartTagPr>
          <w:attr w:name="ProductID" w:val="5 acres"/>
        </w:smartTagPr>
        <w:r w:rsidR="00D90892">
          <w:t>5 acres</w:t>
        </w:r>
      </w:smartTag>
      <w:r w:rsidR="00D90892">
        <w:t xml:space="preserve">. </w:t>
      </w:r>
      <w:r w:rsidR="007E3F06">
        <w:t>Given all th</w:t>
      </w:r>
      <w:r w:rsidR="004C14D4">
        <w:t>o</w:t>
      </w:r>
      <w:r w:rsidR="007E3F06">
        <w:t>se considerations, e</w:t>
      </w:r>
      <w:r w:rsidR="007E3F06" w:rsidRPr="00D807A9">
        <w:t xml:space="preserve">nter a value that is characteristic of </w:t>
      </w:r>
      <w:r w:rsidR="00D90892">
        <w:t xml:space="preserve">each bioretention facility </w:t>
      </w:r>
      <w:r w:rsidR="00931FFF">
        <w:t xml:space="preserve">impervious </w:t>
      </w:r>
      <w:r w:rsidR="00D90892">
        <w:t>drainage area</w:t>
      </w:r>
      <w:r w:rsidR="007E3F06" w:rsidRPr="00D807A9">
        <w:t xml:space="preserve"> in the sub-sewershed(s)</w:t>
      </w:r>
      <w:r w:rsidR="0062037C">
        <w:t>.</w:t>
      </w:r>
    </w:p>
    <w:p w:rsidR="0062037C" w:rsidRDefault="0077784E" w:rsidP="005822D8">
      <w:pPr>
        <w:pStyle w:val="BodyText"/>
      </w:pPr>
      <w:r w:rsidRPr="00FA6577">
        <w:rPr>
          <w:rStyle w:val="Bold"/>
        </w:rPr>
        <w:t>Line 20 – Average bioretention runoff reduction rate.</w:t>
      </w:r>
      <w:r w:rsidRPr="00D807A9">
        <w:t xml:space="preserve"> </w:t>
      </w:r>
      <w:r w:rsidR="00997899">
        <w:rPr>
          <w:bCs/>
        </w:rPr>
        <w:t>T</w:t>
      </w:r>
      <w:r w:rsidR="00997899" w:rsidRPr="00A120FE">
        <w:rPr>
          <w:bCs/>
        </w:rPr>
        <w:t>he</w:t>
      </w:r>
      <w:r w:rsidR="00997899">
        <w:t xml:space="preserve"> runoff reduction potential of a bioretention facility depends on a number of site</w:t>
      </w:r>
      <w:r w:rsidR="00CA6BF3">
        <w:t>-</w:t>
      </w:r>
      <w:r w:rsidR="00997899">
        <w:t>specific factors</w:t>
      </w:r>
      <w:r w:rsidR="009D4572">
        <w:t>,</w:t>
      </w:r>
      <w:r w:rsidR="00997899">
        <w:t xml:space="preserve"> including the topography and infiltration capacity of local soils</w:t>
      </w:r>
      <w:r w:rsidR="0043213D">
        <w:t xml:space="preserve">. </w:t>
      </w:r>
      <w:r w:rsidR="00CA6BF3">
        <w:t>O</w:t>
      </w:r>
      <w:r w:rsidR="00997899">
        <w:t xml:space="preserve">n </w:t>
      </w:r>
      <w:r w:rsidR="00CA6BF3" w:rsidRPr="00CA6BF3">
        <w:t xml:space="preserve">the basis of </w:t>
      </w:r>
      <w:r w:rsidR="00997899">
        <w:t xml:space="preserve">a general understanding of the local </w:t>
      </w:r>
      <w:r w:rsidR="00997899">
        <w:t>conditions in the sub-sewershed, select a runoff reduction rate from Table 3 and enter it on Line 20</w:t>
      </w:r>
      <w:r w:rsidR="0043213D">
        <w:t xml:space="preserve">. </w:t>
      </w:r>
      <w:r w:rsidR="00997899">
        <w:t>The permittee can use a runoff</w:t>
      </w:r>
      <w:r w:rsidR="00CA6BF3">
        <w:t>-</w:t>
      </w:r>
      <w:r w:rsidR="00997899">
        <w:t>reduction rate that is higher than those listed in Table 3 only if it is appropriately documented</w:t>
      </w:r>
      <w:r w:rsidR="0062037C">
        <w:t>.</w:t>
      </w:r>
    </w:p>
    <w:p w:rsidR="0077784E" w:rsidRPr="00997899" w:rsidRDefault="0077784E" w:rsidP="005822D8">
      <w:pPr>
        <w:pStyle w:val="BodyText"/>
      </w:pPr>
      <w:r w:rsidRPr="00FA6577">
        <w:rPr>
          <w:rStyle w:val="Bold"/>
        </w:rPr>
        <w:t xml:space="preserve">Line 21 – Runoff to </w:t>
      </w:r>
      <w:smartTag w:uri="urn:schemas-microsoft-com:office:smarttags" w:element="stockticker">
        <w:r w:rsidRPr="00FA6577">
          <w:rPr>
            <w:rStyle w:val="Bold"/>
          </w:rPr>
          <w:t>CSS</w:t>
        </w:r>
      </w:smartTag>
      <w:r w:rsidRPr="00FA6577">
        <w:rPr>
          <w:rStyle w:val="Bold"/>
        </w:rPr>
        <w:t xml:space="preserve"> eliminated due to bioretention facility installation</w:t>
      </w:r>
      <w:r w:rsidR="0043213D" w:rsidRPr="00FA6577">
        <w:rPr>
          <w:rStyle w:val="Bold"/>
        </w:rPr>
        <w:t xml:space="preserve">. </w:t>
      </w:r>
      <w:r w:rsidRPr="00D807A9">
        <w:t>Multiply 24-h</w:t>
      </w:r>
      <w:r w:rsidR="00CA6BF3">
        <w:t>ou</w:t>
      </w:r>
      <w:r w:rsidRPr="00D807A9">
        <w:t>r rainfall (inches) (Line 9)</w:t>
      </w:r>
      <w:r w:rsidR="00997899">
        <w:t xml:space="preserve"> </w:t>
      </w:r>
      <w:r w:rsidRPr="00D807A9">
        <w:t>by number of biore</w:t>
      </w:r>
      <w:r w:rsidR="0043315A">
        <w:t>te</w:t>
      </w:r>
      <w:r w:rsidRPr="00D807A9">
        <w:t xml:space="preserve">ntion </w:t>
      </w:r>
      <w:r w:rsidR="0043315A" w:rsidRPr="00D807A9">
        <w:t>facilities</w:t>
      </w:r>
      <w:r w:rsidRPr="00D807A9">
        <w:t xml:space="preserve"> </w:t>
      </w:r>
      <w:r w:rsidR="009D4572">
        <w:t>expected to be</w:t>
      </w:r>
      <w:r w:rsidRPr="00D807A9">
        <w:t xml:space="preserve"> installed (Line 18)</w:t>
      </w:r>
      <w:r w:rsidR="00997899">
        <w:t xml:space="preserve"> </w:t>
      </w:r>
      <w:r w:rsidRPr="00D807A9">
        <w:t xml:space="preserve">by </w:t>
      </w:r>
      <w:r w:rsidR="00997899">
        <w:t>a</w:t>
      </w:r>
      <w:r w:rsidRPr="00D807A9">
        <w:t xml:space="preserve">verage </w:t>
      </w:r>
      <w:r w:rsidR="00D6082B">
        <w:t>direct</w:t>
      </w:r>
      <w:r w:rsidR="005B40DF">
        <w:t xml:space="preserve">ly </w:t>
      </w:r>
      <w:r w:rsidR="00D6082B">
        <w:t>connected</w:t>
      </w:r>
      <w:r w:rsidR="00D6082B" w:rsidRPr="00D807A9">
        <w:t xml:space="preserve"> </w:t>
      </w:r>
      <w:r w:rsidRPr="00D807A9">
        <w:t xml:space="preserve">impervious area (sq ft) being managed </w:t>
      </w:r>
      <w:r w:rsidR="00D6082B">
        <w:t>by</w:t>
      </w:r>
      <w:r w:rsidR="00D6082B" w:rsidRPr="00D807A9">
        <w:t xml:space="preserve"> </w:t>
      </w:r>
      <w:r w:rsidRPr="00D807A9">
        <w:t>each biore</w:t>
      </w:r>
      <w:r w:rsidR="0043315A">
        <w:t>te</w:t>
      </w:r>
      <w:r w:rsidRPr="00D807A9">
        <w:t>ntion facility (Line 19)</w:t>
      </w:r>
      <w:r w:rsidR="00997899">
        <w:t xml:space="preserve"> </w:t>
      </w:r>
      <w:r w:rsidRPr="00D807A9">
        <w:t xml:space="preserve">by average bioretention runoff reduction rate (Line 20). </w:t>
      </w:r>
      <w:r w:rsidR="0043315A" w:rsidRPr="00D807A9">
        <w:t>Multiply</w:t>
      </w:r>
      <w:r w:rsidR="00997899">
        <w:t xml:space="preserve"> th</w:t>
      </w:r>
      <w:r w:rsidR="00CA6BF3">
        <w:t>at</w:t>
      </w:r>
      <w:r w:rsidR="00997899">
        <w:t xml:space="preserve"> product by 0.5922 </w:t>
      </w:r>
      <w:r w:rsidR="00997899" w:rsidRPr="00997899">
        <w:t>(th</w:t>
      </w:r>
      <w:r w:rsidR="00CA6BF3">
        <w:t>at</w:t>
      </w:r>
      <w:r w:rsidR="00997899" w:rsidRPr="00997899">
        <w:t xml:space="preserve"> factor includes the unit conversion to gallons as well as the impervious area runoff coefficient of 0.95).</w:t>
      </w:r>
    </w:p>
    <w:p w:rsidR="00997899" w:rsidRPr="00D807A9" w:rsidRDefault="0077784E" w:rsidP="005822D8">
      <w:pPr>
        <w:pStyle w:val="BodyText"/>
      </w:pPr>
      <w:r w:rsidRPr="00FA6577">
        <w:rPr>
          <w:rStyle w:val="Bold"/>
        </w:rPr>
        <w:t>Line 22</w:t>
      </w:r>
      <w:r w:rsidR="00705A0F" w:rsidRPr="00FA6577">
        <w:rPr>
          <w:rStyle w:val="Bold"/>
        </w:rPr>
        <w:t xml:space="preserve"> </w:t>
      </w:r>
      <w:r w:rsidRPr="00FA6577">
        <w:rPr>
          <w:rStyle w:val="Bold"/>
        </w:rPr>
        <w:t xml:space="preserve">– Bioretention </w:t>
      </w:r>
      <w:r w:rsidR="002B55E8" w:rsidRPr="00FA6577">
        <w:rPr>
          <w:rStyle w:val="Bold"/>
        </w:rPr>
        <w:t>runoff</w:t>
      </w:r>
      <w:r w:rsidRPr="00FA6577">
        <w:rPr>
          <w:rStyle w:val="Bold"/>
        </w:rPr>
        <w:t xml:space="preserve"> reduction volume (MG).</w:t>
      </w:r>
      <w:r w:rsidRPr="00D807A9">
        <w:t xml:space="preserve"> Divide runoff to </w:t>
      </w:r>
      <w:smartTag w:uri="urn:schemas-microsoft-com:office:smarttags" w:element="stockticker">
        <w:r w:rsidRPr="00D807A9">
          <w:t>CSS</w:t>
        </w:r>
      </w:smartTag>
      <w:r w:rsidRPr="00D807A9">
        <w:t xml:space="preserve"> eliminated </w:t>
      </w:r>
      <w:r w:rsidR="00CA6BF3">
        <w:t>because of</w:t>
      </w:r>
      <w:r w:rsidRPr="00D807A9">
        <w:t xml:space="preserve"> bioretention facility installation (Line 21) by 1,000,000</w:t>
      </w:r>
      <w:r w:rsidR="00997899" w:rsidRPr="00997899">
        <w:t xml:space="preserve"> </w:t>
      </w:r>
      <w:r w:rsidR="00997899">
        <w:t>to convert from gallons to MG.</w:t>
      </w:r>
    </w:p>
    <w:p w:rsidR="0062037C" w:rsidRDefault="0077784E" w:rsidP="005822D8">
      <w:pPr>
        <w:pStyle w:val="BodyText"/>
      </w:pPr>
      <w:r w:rsidRPr="00FA6577">
        <w:rPr>
          <w:rStyle w:val="Bold"/>
        </w:rPr>
        <w:t>Line 23</w:t>
      </w:r>
      <w:r w:rsidR="00705A0F" w:rsidRPr="00FA6577">
        <w:rPr>
          <w:rStyle w:val="Bold"/>
        </w:rPr>
        <w:t xml:space="preserve"> </w:t>
      </w:r>
      <w:r w:rsidRPr="00FA6577">
        <w:rPr>
          <w:rStyle w:val="Bold"/>
        </w:rPr>
        <w:t>– Unit cost per square foot for bioretention installation.</w:t>
      </w:r>
      <w:r w:rsidRPr="00D807A9">
        <w:t xml:space="preserve"> </w:t>
      </w:r>
      <w:r w:rsidR="00997899" w:rsidRPr="00A73946">
        <w:t>Unit costs</w:t>
      </w:r>
      <w:r w:rsidR="00997899">
        <w:t xml:space="preserve"> for bioretention facility installations can vary significantly</w:t>
      </w:r>
      <w:r w:rsidR="0043213D">
        <w:t xml:space="preserve">. </w:t>
      </w:r>
      <w:r w:rsidR="00997899">
        <w:t>Enter a cost that reflects local conditions or use the default value of $7 per square foot</w:t>
      </w:r>
      <w:r w:rsidR="0062037C">
        <w:t>.</w:t>
      </w:r>
    </w:p>
    <w:p w:rsidR="0077784E" w:rsidRDefault="0077784E" w:rsidP="005822D8">
      <w:pPr>
        <w:pStyle w:val="BodyText"/>
      </w:pPr>
      <w:r w:rsidRPr="00FA6577">
        <w:rPr>
          <w:rStyle w:val="Bold"/>
        </w:rPr>
        <w:t>Line 24</w:t>
      </w:r>
      <w:r w:rsidR="00705A0F" w:rsidRPr="00FA6577">
        <w:rPr>
          <w:rStyle w:val="Bold"/>
        </w:rPr>
        <w:t xml:space="preserve"> </w:t>
      </w:r>
      <w:r w:rsidRPr="00FA6577">
        <w:rPr>
          <w:rStyle w:val="Bold"/>
        </w:rPr>
        <w:t>– Fraction of publicly owned or subsidized bioretention facilities being installed</w:t>
      </w:r>
      <w:r w:rsidR="0043213D" w:rsidRPr="00FA6577">
        <w:rPr>
          <w:rStyle w:val="Bold"/>
        </w:rPr>
        <w:t xml:space="preserve">. </w:t>
      </w:r>
      <w:r w:rsidR="00997899" w:rsidRPr="0043315A">
        <w:t xml:space="preserve">Determine the number of publicly owned </w:t>
      </w:r>
      <w:r w:rsidR="00931FFF">
        <w:t xml:space="preserve">bioretention facilities </w:t>
      </w:r>
      <w:r w:rsidR="009D4572">
        <w:t xml:space="preserve">expected </w:t>
      </w:r>
      <w:r w:rsidR="00931FFF">
        <w:t>to be installed</w:t>
      </w:r>
      <w:r w:rsidR="00997899">
        <w:t xml:space="preserve"> and add to it any privately owned </w:t>
      </w:r>
      <w:r w:rsidR="00931FFF">
        <w:t>bioretention facilities</w:t>
      </w:r>
      <w:r w:rsidR="00997899">
        <w:t xml:space="preserve"> </w:t>
      </w:r>
      <w:r w:rsidR="00931FFF">
        <w:t xml:space="preserve">that </w:t>
      </w:r>
      <w:r w:rsidR="00997899">
        <w:t xml:space="preserve">are expected to be partially or wholly subsidized with public funds. </w:t>
      </w:r>
      <w:r w:rsidR="009D4572">
        <w:t>For private installations, c</w:t>
      </w:r>
      <w:r w:rsidR="00997899">
        <w:t xml:space="preserve">ount only the portion of the </w:t>
      </w:r>
      <w:r w:rsidR="00931FFF">
        <w:t>total bioretention facility</w:t>
      </w:r>
      <w:r w:rsidR="00997899">
        <w:t xml:space="preserve"> installation cost that is </w:t>
      </w:r>
      <w:r w:rsidR="00997899">
        <w:lastRenderedPageBreak/>
        <w:t xml:space="preserve">publicly funded </w:t>
      </w:r>
      <w:r w:rsidR="00583CBC">
        <w:t>(</w:t>
      </w:r>
      <w:r w:rsidR="00583CBC" w:rsidRPr="007B3819">
        <w:rPr>
          <w:iCs/>
        </w:rPr>
        <w:t>i.e.</w:t>
      </w:r>
      <w:r w:rsidR="00583CBC" w:rsidRPr="004D23B9">
        <w:rPr>
          <w:rStyle w:val="italic"/>
        </w:rPr>
        <w:t>,</w:t>
      </w:r>
      <w:r w:rsidR="00583CBC">
        <w:t xml:space="preserve"> if a public subsidy pays for 10</w:t>
      </w:r>
      <w:r w:rsidR="00CA6BF3">
        <w:t xml:space="preserve"> percent</w:t>
      </w:r>
      <w:r w:rsidR="00583CBC">
        <w:t xml:space="preserve"> of a typical installation, count </w:t>
      </w:r>
      <w:r w:rsidR="00CA6BF3">
        <w:t xml:space="preserve">only </w:t>
      </w:r>
      <w:r w:rsidR="00583CBC">
        <w:t>10</w:t>
      </w:r>
      <w:r w:rsidR="00CA6BF3">
        <w:t xml:space="preserve"> percent</w:t>
      </w:r>
      <w:r w:rsidR="00583CBC">
        <w:t xml:space="preserve"> of that installation).</w:t>
      </w:r>
      <w:r w:rsidR="00FE7EC9">
        <w:t xml:space="preserve"> </w:t>
      </w:r>
      <w:r w:rsidR="00EA284F">
        <w:t>The p</w:t>
      </w:r>
      <w:r w:rsidR="00FE7EC9">
        <w:t>ermittee m</w:t>
      </w:r>
      <w:r w:rsidR="00CA6BF3">
        <w:t>ight</w:t>
      </w:r>
      <w:r w:rsidR="00FE7EC9">
        <w:t xml:space="preserve"> also need to co</w:t>
      </w:r>
      <w:r w:rsidR="00C35BD7">
        <w:t>nsider</w:t>
      </w:r>
      <w:r w:rsidR="00FE7EC9">
        <w:t xml:space="preserve"> the incentive cost for bioretention facility in the public property and any related cost for future maintenance</w:t>
      </w:r>
      <w:r w:rsidR="00EA284F">
        <w:t>.</w:t>
      </w:r>
    </w:p>
    <w:p w:rsidR="0077784E" w:rsidRPr="00D807A9" w:rsidRDefault="0077784E" w:rsidP="005822D8">
      <w:pPr>
        <w:pStyle w:val="BodyText"/>
      </w:pPr>
      <w:r w:rsidRPr="00FA6577">
        <w:rPr>
          <w:rStyle w:val="Bold"/>
        </w:rPr>
        <w:t>Line 25</w:t>
      </w:r>
      <w:r w:rsidR="00705A0F" w:rsidRPr="00FA6577">
        <w:rPr>
          <w:rStyle w:val="Bold"/>
        </w:rPr>
        <w:t xml:space="preserve"> </w:t>
      </w:r>
      <w:r w:rsidRPr="00FA6577">
        <w:rPr>
          <w:rStyle w:val="Bold"/>
        </w:rPr>
        <w:t>– Estimated public cost of cumulative biore</w:t>
      </w:r>
      <w:r w:rsidR="006C0A9E" w:rsidRPr="00FA6577">
        <w:rPr>
          <w:rStyle w:val="Bold"/>
        </w:rPr>
        <w:t>te</w:t>
      </w:r>
      <w:r w:rsidRPr="00FA6577">
        <w:rPr>
          <w:rStyle w:val="Bold"/>
        </w:rPr>
        <w:t>ntion installation.</w:t>
      </w:r>
      <w:r w:rsidRPr="00D807A9">
        <w:t xml:space="preserve"> </w:t>
      </w:r>
      <w:r w:rsidR="009D4572" w:rsidRPr="00BD7C32">
        <w:t xml:space="preserve">Some of the costs of </w:t>
      </w:r>
      <w:r w:rsidR="009D4572">
        <w:t>bioretention</w:t>
      </w:r>
      <w:r w:rsidR="009D4572" w:rsidRPr="00BD7C32">
        <w:t xml:space="preserve"> will be borne by private </w:t>
      </w:r>
      <w:r w:rsidR="009D4572">
        <w:t>citizens or corporations</w:t>
      </w:r>
      <w:r w:rsidR="009D4572" w:rsidRPr="00BD7C32">
        <w:t xml:space="preserve"> and will not be borne by</w:t>
      </w:r>
      <w:r w:rsidR="009D4572" w:rsidRPr="00FA6577">
        <w:rPr>
          <w:rStyle w:val="Bold"/>
        </w:rPr>
        <w:t xml:space="preserve"> </w:t>
      </w:r>
      <w:r w:rsidR="009D4572" w:rsidRPr="00BD7C32">
        <w:t>the permittee.</w:t>
      </w:r>
      <w:r w:rsidR="009D4572" w:rsidRPr="00FA6577">
        <w:rPr>
          <w:rStyle w:val="Bold"/>
        </w:rPr>
        <w:t xml:space="preserve"> </w:t>
      </w:r>
      <w:r w:rsidR="009D4572">
        <w:t>To determine the cost to the permittee</w:t>
      </w:r>
      <w:r w:rsidR="00CA6BF3">
        <w:t>,</w:t>
      </w:r>
      <w:r w:rsidR="009D4572">
        <w:t xml:space="preserve"> m</w:t>
      </w:r>
      <w:r w:rsidRPr="00D807A9">
        <w:t xml:space="preserve">ultiply number of bioretention facilities </w:t>
      </w:r>
      <w:r w:rsidR="00A218FD">
        <w:t>expected to be</w:t>
      </w:r>
      <w:r w:rsidRPr="00D807A9">
        <w:t xml:space="preserve"> installed (Line 18) by average </w:t>
      </w:r>
      <w:r w:rsidR="00D6082B">
        <w:t>direct</w:t>
      </w:r>
      <w:r w:rsidR="005B40DF">
        <w:t xml:space="preserve">ly </w:t>
      </w:r>
      <w:r w:rsidR="00D6082B">
        <w:t>connected</w:t>
      </w:r>
      <w:r w:rsidR="00D6082B" w:rsidRPr="00D807A9">
        <w:t xml:space="preserve"> </w:t>
      </w:r>
      <w:r w:rsidRPr="00D807A9">
        <w:t>impervious area (sq ft) being managed by each bioretention facil</w:t>
      </w:r>
      <w:r w:rsidR="006C0A9E">
        <w:t>ity (Line 19) by unit cost per s</w:t>
      </w:r>
      <w:r w:rsidRPr="00D807A9">
        <w:t xml:space="preserve">quare foot for bioretention installation (Line23) by fraction of publicly owned or subsidized bioretention </w:t>
      </w:r>
      <w:r w:rsidR="00F75D62" w:rsidRPr="00D807A9">
        <w:t>facilities</w:t>
      </w:r>
      <w:r w:rsidRPr="00D807A9">
        <w:t xml:space="preserve"> being installed (Line24). Divide th</w:t>
      </w:r>
      <w:r w:rsidR="00CA6BF3">
        <w:t>at</w:t>
      </w:r>
      <w:r w:rsidRPr="00D807A9">
        <w:t xml:space="preserve"> product by 10</w:t>
      </w:r>
      <w:r w:rsidR="00931FFF">
        <w:t xml:space="preserve"> to account for the relationship between the impervious drainage area size and the bioretention facility size.</w:t>
      </w:r>
    </w:p>
    <w:p w:rsidR="0077784E" w:rsidRPr="00D807A9" w:rsidRDefault="0077784E" w:rsidP="0077784E">
      <w:pPr>
        <w:rPr>
          <w:rFonts w:cs="Arial"/>
          <w:szCs w:val="20"/>
        </w:rPr>
      </w:pPr>
    </w:p>
    <w:p w:rsidR="0077784E" w:rsidRDefault="0077784E" w:rsidP="003859D2">
      <w:pPr>
        <w:pStyle w:val="Heading2"/>
      </w:pPr>
      <w:bookmarkStart w:id="145" w:name="_Toc243725257"/>
      <w:bookmarkStart w:id="146" w:name="_Toc243809439"/>
      <w:bookmarkStart w:id="147" w:name="_Toc285015603"/>
      <w:r w:rsidRPr="00D807A9">
        <w:t>Vegetated Swales</w:t>
      </w:r>
      <w:bookmarkEnd w:id="145"/>
      <w:bookmarkEnd w:id="146"/>
      <w:bookmarkEnd w:id="147"/>
    </w:p>
    <w:p w:rsidR="0062037C" w:rsidRDefault="00247B5F" w:rsidP="005822D8">
      <w:pPr>
        <w:pStyle w:val="BodyText"/>
        <w:rPr>
          <w:rFonts w:eastAsia="SimSun"/>
          <w:lang w:eastAsia="zh-CN"/>
        </w:rPr>
      </w:pPr>
      <w:r w:rsidRPr="00C21A99">
        <w:t xml:space="preserve">Vegetated swales </w:t>
      </w:r>
      <w:r w:rsidR="00DC63F8">
        <w:t xml:space="preserve">(or bioswales) </w:t>
      </w:r>
      <w:r w:rsidRPr="00C21A99">
        <w:t xml:space="preserve">are </w:t>
      </w:r>
      <w:r w:rsidR="00DC63F8">
        <w:t xml:space="preserve">shallow, </w:t>
      </w:r>
      <w:r w:rsidRPr="00C21A99">
        <w:t xml:space="preserve">open channels with vegetation covering the side slopes and </w:t>
      </w:r>
      <w:r w:rsidR="00C21A99">
        <w:t xml:space="preserve">channel </w:t>
      </w:r>
      <w:r w:rsidRPr="00C21A99">
        <w:t>bottom</w:t>
      </w:r>
      <w:r w:rsidR="0043213D">
        <w:t xml:space="preserve">. </w:t>
      </w:r>
      <w:r w:rsidR="00DC63F8">
        <w:t xml:space="preserve">They are primarily designed </w:t>
      </w:r>
      <w:r w:rsidR="00AC212F">
        <w:t>to</w:t>
      </w:r>
      <w:r w:rsidR="00AC212F" w:rsidRPr="00C21A99">
        <w:t xml:space="preserve"> collect and convey runoff to downstream discharge </w:t>
      </w:r>
      <w:r w:rsidR="00AC212F">
        <w:t xml:space="preserve">locations </w:t>
      </w:r>
      <w:r w:rsidR="00DC63F8">
        <w:t>as alternatives to curbs, gutters, and stormwater pipes</w:t>
      </w:r>
      <w:r w:rsidRPr="00C21A99">
        <w:t xml:space="preserve">. </w:t>
      </w:r>
      <w:r w:rsidR="00DC63F8">
        <w:t>They can be used to</w:t>
      </w:r>
      <w:r w:rsidR="00DC63F8" w:rsidRPr="00702019">
        <w:t xml:space="preserve"> manage stormwater runoff</w:t>
      </w:r>
      <w:r w:rsidR="00DC63F8">
        <w:t xml:space="preserve"> from any number of impervious surfaces</w:t>
      </w:r>
      <w:r w:rsidR="00AC212F">
        <w:t>,</w:t>
      </w:r>
      <w:r w:rsidR="00DC63F8">
        <w:t xml:space="preserve"> including rooftops, streetscapes, and parking lots. While their primary function is conveyance and water quality management, they can actually provide significant water quantity management as </w:t>
      </w:r>
      <w:r w:rsidR="00DC63F8">
        <w:t xml:space="preserve">well </w:t>
      </w:r>
      <w:r w:rsidR="00DC63F8">
        <w:rPr>
          <w:rFonts w:eastAsia="SimSun"/>
          <w:lang w:eastAsia="zh-CN"/>
        </w:rPr>
        <w:t>via</w:t>
      </w:r>
      <w:r w:rsidRPr="00C21A99">
        <w:rPr>
          <w:rFonts w:eastAsia="SimSun"/>
          <w:lang w:eastAsia="zh-CN"/>
        </w:rPr>
        <w:t xml:space="preserve"> infiltration </w:t>
      </w:r>
      <w:r w:rsidR="00DC63F8">
        <w:rPr>
          <w:rFonts w:eastAsia="SimSun"/>
          <w:lang w:eastAsia="zh-CN"/>
        </w:rPr>
        <w:t>and evapotranspiration</w:t>
      </w:r>
      <w:r w:rsidR="0062037C">
        <w:rPr>
          <w:rFonts w:eastAsia="SimSun"/>
          <w:lang w:eastAsia="zh-CN"/>
        </w:rPr>
        <w:t>.</w:t>
      </w:r>
    </w:p>
    <w:p w:rsidR="00DC63F8" w:rsidRPr="00702019" w:rsidRDefault="00AC212F" w:rsidP="005822D8">
      <w:pPr>
        <w:pStyle w:val="BodyText"/>
      </w:pPr>
      <w:r>
        <w:t>Vegetated swales are linear features that can typically manage runoff from larger areas than can bioretention facilities (although the quantity management effectiveness will likely not be as high)</w:t>
      </w:r>
      <w:r w:rsidR="0043213D">
        <w:t xml:space="preserve">. </w:t>
      </w:r>
      <w:r w:rsidR="00DC63F8">
        <w:rPr>
          <w:rFonts w:eastAsia="SimSun"/>
          <w:lang w:eastAsia="zh-CN"/>
        </w:rPr>
        <w:t xml:space="preserve">As with bioretention facilities, </w:t>
      </w:r>
      <w:r w:rsidR="00DC63F8">
        <w:t>vegetated swale designs can vary significantly by size, depth, engineered soil characteristics, and plant selection</w:t>
      </w:r>
      <w:r w:rsidR="0043213D">
        <w:t xml:space="preserve">. </w:t>
      </w:r>
      <w:r w:rsidR="00DC63F8">
        <w:t>Performance is highly site dependent and is affected by design parameters</w:t>
      </w:r>
      <w:r>
        <w:t>,</w:t>
      </w:r>
      <w:r w:rsidR="00DC63F8">
        <w:t xml:space="preserve"> as well as </w:t>
      </w:r>
      <w:r>
        <w:t xml:space="preserve">by </w:t>
      </w:r>
      <w:r w:rsidR="00DC63F8">
        <w:t>local conditions</w:t>
      </w:r>
      <w:r>
        <w:t>,</w:t>
      </w:r>
      <w:r w:rsidR="00DC63F8">
        <w:t xml:space="preserve"> including topography and the infiltration capacity of surrounding soils</w:t>
      </w:r>
      <w:r w:rsidR="0043213D">
        <w:t xml:space="preserve">. </w:t>
      </w:r>
      <w:r w:rsidR="00DC63F8">
        <w:t xml:space="preserve">Local zoning and building codes should be consulted for any guidance on vegetated swale </w:t>
      </w:r>
      <w:r>
        <w:t>specifications</w:t>
      </w:r>
      <w:r w:rsidR="00DC63F8">
        <w:t>.</w:t>
      </w:r>
    </w:p>
    <w:p w:rsidR="0077784E" w:rsidRPr="00D807A9" w:rsidRDefault="0077784E" w:rsidP="005822D8">
      <w:pPr>
        <w:pStyle w:val="BodyText"/>
      </w:pPr>
      <w:r w:rsidRPr="00FA6577">
        <w:rPr>
          <w:rStyle w:val="Bold"/>
        </w:rPr>
        <w:t>Line 26</w:t>
      </w:r>
      <w:r w:rsidRPr="00D807A9">
        <w:t xml:space="preserve"> </w:t>
      </w:r>
      <w:r w:rsidRPr="00FA6577">
        <w:rPr>
          <w:rStyle w:val="Bold"/>
        </w:rPr>
        <w:t xml:space="preserve">– Cumulative </w:t>
      </w:r>
      <w:r w:rsidR="00D6082B" w:rsidRPr="00FA6577">
        <w:rPr>
          <w:rStyle w:val="Bold"/>
        </w:rPr>
        <w:t>direct</w:t>
      </w:r>
      <w:r w:rsidR="005B40DF" w:rsidRPr="00FA6577">
        <w:rPr>
          <w:rStyle w:val="Bold"/>
        </w:rPr>
        <w:t xml:space="preserve">ly </w:t>
      </w:r>
      <w:r w:rsidR="00D6082B" w:rsidRPr="00FA6577">
        <w:rPr>
          <w:rStyle w:val="Bold"/>
        </w:rPr>
        <w:t xml:space="preserve">connected </w:t>
      </w:r>
      <w:r w:rsidRPr="00FA6577">
        <w:rPr>
          <w:rStyle w:val="Bold"/>
        </w:rPr>
        <w:t xml:space="preserve">impervious area (sq ft) </w:t>
      </w:r>
      <w:r w:rsidR="00AC212F" w:rsidRPr="00FA6577">
        <w:rPr>
          <w:rStyle w:val="Bold"/>
        </w:rPr>
        <w:t>expected to be</w:t>
      </w:r>
      <w:r w:rsidRPr="00FA6577">
        <w:rPr>
          <w:rStyle w:val="Bold"/>
        </w:rPr>
        <w:t xml:space="preserve"> managed by vegetated swales. </w:t>
      </w:r>
      <w:r w:rsidR="005B33D3">
        <w:t xml:space="preserve">Most </w:t>
      </w:r>
      <w:r w:rsidR="00BB4EC6">
        <w:t>vegetated swales</w:t>
      </w:r>
      <w:r w:rsidR="005B33D3">
        <w:t xml:space="preserve"> are sized and designed according to the available space</w:t>
      </w:r>
      <w:r w:rsidR="00BB4EC6">
        <w:t xml:space="preserve"> and the type and configuration of the contributing </w:t>
      </w:r>
      <w:r w:rsidR="005B33D3">
        <w:t xml:space="preserve">drainage area to be managed. In general, a </w:t>
      </w:r>
      <w:r w:rsidR="00BB4EC6">
        <w:t>vegetated swale</w:t>
      </w:r>
      <w:r w:rsidR="005B33D3">
        <w:t xml:space="preserve"> drainage area should not exceed </w:t>
      </w:r>
      <w:smartTag w:uri="urn:schemas-microsoft-com:office:smarttags" w:element="metricconverter">
        <w:smartTagPr>
          <w:attr w:name="ProductID" w:val="10 acres"/>
        </w:smartTagPr>
        <w:r w:rsidR="00BB4EC6">
          <w:t>10</w:t>
        </w:r>
        <w:r w:rsidR="005B33D3">
          <w:t xml:space="preserve"> acres</w:t>
        </w:r>
      </w:smartTag>
      <w:r w:rsidR="005B33D3">
        <w:t xml:space="preserve">. </w:t>
      </w:r>
      <w:r w:rsidR="00C60EFB">
        <w:t>Following an evaluation of the potential for vegetated swale installation</w:t>
      </w:r>
      <w:r w:rsidR="005B33D3">
        <w:t>, e</w:t>
      </w:r>
      <w:r w:rsidR="005B33D3" w:rsidRPr="00D807A9">
        <w:t xml:space="preserve">nter </w:t>
      </w:r>
      <w:r w:rsidR="00BB4EC6">
        <w:t>the</w:t>
      </w:r>
      <w:r w:rsidR="005B33D3" w:rsidRPr="00D807A9">
        <w:t xml:space="preserve"> </w:t>
      </w:r>
      <w:r w:rsidR="00C60EFB" w:rsidRPr="004D23B9">
        <w:rPr>
          <w:rStyle w:val="italic"/>
        </w:rPr>
        <w:t>existing</w:t>
      </w:r>
      <w:r w:rsidR="00C60EFB">
        <w:t xml:space="preserve"> </w:t>
      </w:r>
      <w:r w:rsidR="00BB4EC6">
        <w:t xml:space="preserve">cumulative </w:t>
      </w:r>
      <w:r w:rsidR="00D6082B">
        <w:t>direct</w:t>
      </w:r>
      <w:r w:rsidR="005B40DF">
        <w:t xml:space="preserve">ly </w:t>
      </w:r>
      <w:r w:rsidR="00D6082B">
        <w:t xml:space="preserve">connected </w:t>
      </w:r>
      <w:r w:rsidR="00BB4EC6">
        <w:t xml:space="preserve">impervious area </w:t>
      </w:r>
      <w:r w:rsidR="00C60EFB">
        <w:t xml:space="preserve">within the sub-sewershed(s) </w:t>
      </w:r>
      <w:r w:rsidR="00BB4EC6">
        <w:t xml:space="preserve">that </w:t>
      </w:r>
      <w:r w:rsidR="00AC212F">
        <w:t>is expected to</w:t>
      </w:r>
      <w:r w:rsidR="00BB4EC6">
        <w:t xml:space="preserve"> be managed by vegetated swales</w:t>
      </w:r>
      <w:r w:rsidR="00C60EFB">
        <w:t xml:space="preserve"> over the planning horizon.</w:t>
      </w:r>
    </w:p>
    <w:p w:rsidR="00C60EFB" w:rsidRPr="00D807A9" w:rsidRDefault="0077784E" w:rsidP="005822D8">
      <w:pPr>
        <w:pStyle w:val="BodyText"/>
      </w:pPr>
      <w:r w:rsidRPr="00FA6577">
        <w:rPr>
          <w:rStyle w:val="Bold"/>
        </w:rPr>
        <w:t>Line 27</w:t>
      </w:r>
      <w:r w:rsidR="00705A0F" w:rsidRPr="00FA6577">
        <w:rPr>
          <w:rStyle w:val="Bold"/>
        </w:rPr>
        <w:t xml:space="preserve"> </w:t>
      </w:r>
      <w:r w:rsidRPr="00FA6577">
        <w:rPr>
          <w:rStyle w:val="Bold"/>
        </w:rPr>
        <w:t>– Cumulative footprint area (sq ft) of vegetated swales</w:t>
      </w:r>
      <w:r w:rsidR="00C60EFB" w:rsidRPr="00FA6577">
        <w:rPr>
          <w:rStyle w:val="Bold"/>
        </w:rPr>
        <w:t xml:space="preserve">. </w:t>
      </w:r>
      <w:r w:rsidR="00C60EFB">
        <w:t>Depending on the characteristics of the drainage area, the vegetated swale footprint is typically 3 to 5</w:t>
      </w:r>
      <w:r w:rsidR="00CA6BF3">
        <w:t xml:space="preserve"> percent</w:t>
      </w:r>
      <w:r w:rsidR="00C60EFB">
        <w:t xml:space="preserve"> of the contributing impervious area being managed. Given th</w:t>
      </w:r>
      <w:r w:rsidR="00CA6BF3">
        <w:t>at</w:t>
      </w:r>
      <w:r w:rsidR="00C60EFB">
        <w:t>, e</w:t>
      </w:r>
      <w:r w:rsidR="00C60EFB" w:rsidRPr="00D807A9">
        <w:t xml:space="preserve">nter </w:t>
      </w:r>
      <w:r w:rsidR="00C60EFB">
        <w:t>the</w:t>
      </w:r>
      <w:r w:rsidR="00C60EFB" w:rsidRPr="00D807A9">
        <w:t xml:space="preserve"> </w:t>
      </w:r>
      <w:r w:rsidR="00C60EFB">
        <w:t xml:space="preserve">cumulative footprint of vegetated swales that </w:t>
      </w:r>
      <w:r w:rsidR="00844CFE">
        <w:t>are expected to</w:t>
      </w:r>
      <w:r w:rsidR="00C60EFB">
        <w:t xml:space="preserve"> be installed over the planning horizon to manage the drainage area provided on Line 26.</w:t>
      </w:r>
    </w:p>
    <w:p w:rsidR="0062037C" w:rsidRDefault="0077784E" w:rsidP="005822D8">
      <w:pPr>
        <w:pStyle w:val="BodyText"/>
      </w:pPr>
      <w:r w:rsidRPr="00FA6577">
        <w:rPr>
          <w:rStyle w:val="Bold"/>
        </w:rPr>
        <w:t>Line 28 – Average vegetated swale runoff reduction rate.</w:t>
      </w:r>
      <w:r w:rsidRPr="00D807A9">
        <w:t xml:space="preserve"> </w:t>
      </w:r>
      <w:r w:rsidR="00C60EFB">
        <w:rPr>
          <w:bCs/>
        </w:rPr>
        <w:t>T</w:t>
      </w:r>
      <w:r w:rsidR="00C60EFB" w:rsidRPr="00A120FE">
        <w:rPr>
          <w:bCs/>
        </w:rPr>
        <w:t>he</w:t>
      </w:r>
      <w:r w:rsidR="00C60EFB">
        <w:t xml:space="preserve"> runoff reduction potential of a vegetated swale depends on a number of site</w:t>
      </w:r>
      <w:r w:rsidR="00CA6BF3">
        <w:t>-</w:t>
      </w:r>
      <w:r w:rsidR="00C60EFB">
        <w:t>specific factors</w:t>
      </w:r>
      <w:r w:rsidR="00844CFE">
        <w:t>,</w:t>
      </w:r>
      <w:r w:rsidR="00C60EFB">
        <w:t xml:space="preserve"> including the slope and infiltration capacity of local soils</w:t>
      </w:r>
      <w:r w:rsidR="0043213D">
        <w:t xml:space="preserve">. </w:t>
      </w:r>
      <w:r w:rsidR="00CA6BF3">
        <w:t>O</w:t>
      </w:r>
      <w:r w:rsidR="00C60EFB">
        <w:t xml:space="preserve">n </w:t>
      </w:r>
      <w:r w:rsidR="00CA6BF3" w:rsidRPr="00CA6BF3">
        <w:t xml:space="preserve">the basis of </w:t>
      </w:r>
      <w:r w:rsidR="00C60EFB">
        <w:t>a general understanding of th</w:t>
      </w:r>
      <w:r w:rsidR="00CA6BF3">
        <w:t>o</w:t>
      </w:r>
      <w:r w:rsidR="00C60EFB">
        <w:t>se local conditions in the sub-sewershed, select a runoff reduction rate from Table 3 and enter it on Line 28</w:t>
      </w:r>
      <w:r w:rsidR="0043213D">
        <w:t xml:space="preserve">. </w:t>
      </w:r>
      <w:r w:rsidR="00C60EFB">
        <w:t>The permittee can use a runoff reduction rate that is higher than those listed in Table 3 only if it is appropriately documented</w:t>
      </w:r>
      <w:r w:rsidR="0062037C">
        <w:t>.</w:t>
      </w:r>
    </w:p>
    <w:p w:rsidR="0077784E" w:rsidRPr="00D807A9" w:rsidRDefault="0077784E" w:rsidP="005822D8">
      <w:pPr>
        <w:pStyle w:val="BodyText"/>
      </w:pPr>
      <w:r w:rsidRPr="00FA6577">
        <w:rPr>
          <w:rStyle w:val="Bold"/>
        </w:rPr>
        <w:t xml:space="preserve">Line 29 – Runoff to </w:t>
      </w:r>
      <w:smartTag w:uri="urn:schemas-microsoft-com:office:smarttags" w:element="stockticker">
        <w:r w:rsidRPr="00FA6577">
          <w:rPr>
            <w:rStyle w:val="Bold"/>
          </w:rPr>
          <w:t>CSS</w:t>
        </w:r>
      </w:smartTag>
      <w:r w:rsidRPr="00FA6577">
        <w:rPr>
          <w:rStyle w:val="Bold"/>
        </w:rPr>
        <w:t xml:space="preserve"> </w:t>
      </w:r>
      <w:r w:rsidR="00844CFE" w:rsidRPr="00FA6577">
        <w:rPr>
          <w:rStyle w:val="Bold"/>
        </w:rPr>
        <w:t xml:space="preserve">expected to be </w:t>
      </w:r>
      <w:r w:rsidRPr="00FA6577">
        <w:rPr>
          <w:rStyle w:val="Bold"/>
        </w:rPr>
        <w:t>eliminated due to vegetated swale installation</w:t>
      </w:r>
      <w:r w:rsidR="0043213D" w:rsidRPr="00FA6577">
        <w:rPr>
          <w:rStyle w:val="Bold"/>
        </w:rPr>
        <w:t xml:space="preserve">. </w:t>
      </w:r>
      <w:r w:rsidRPr="00D807A9">
        <w:t>Multiply 24-h</w:t>
      </w:r>
      <w:r w:rsidR="00CA6BF3">
        <w:t>ou</w:t>
      </w:r>
      <w:r w:rsidRPr="00D807A9">
        <w:t xml:space="preserve">r rainfall (inches) (Line 9) by cumulative </w:t>
      </w:r>
      <w:r w:rsidR="00D6082B">
        <w:t>direct</w:t>
      </w:r>
      <w:r w:rsidR="005B40DF">
        <w:t xml:space="preserve">ly </w:t>
      </w:r>
      <w:r w:rsidR="00D6082B">
        <w:t>connected</w:t>
      </w:r>
      <w:r w:rsidR="00D6082B" w:rsidRPr="00D807A9">
        <w:t xml:space="preserve"> </w:t>
      </w:r>
      <w:r w:rsidRPr="00D807A9">
        <w:t>impervious area (sq ft)</w:t>
      </w:r>
      <w:r w:rsidR="00C60EFB">
        <w:t xml:space="preserve"> </w:t>
      </w:r>
      <w:r w:rsidRPr="00D807A9">
        <w:t xml:space="preserve">being managed by vegetated swales (Line 26) by </w:t>
      </w:r>
      <w:r w:rsidR="00C60EFB">
        <w:t xml:space="preserve">the </w:t>
      </w:r>
      <w:r w:rsidRPr="00D807A9">
        <w:t>average vegetated swale runoff reduction rate (Line 28). Mu</w:t>
      </w:r>
      <w:r w:rsidR="00C60EFB">
        <w:t>l</w:t>
      </w:r>
      <w:r w:rsidRPr="00D807A9">
        <w:t>tiply th</w:t>
      </w:r>
      <w:r w:rsidR="00CA6BF3">
        <w:t>at</w:t>
      </w:r>
      <w:r w:rsidRPr="00D807A9">
        <w:t xml:space="preserve"> product by 0.5922</w:t>
      </w:r>
      <w:r w:rsidR="00C60EFB">
        <w:t xml:space="preserve"> </w:t>
      </w:r>
      <w:r w:rsidR="00C60EFB" w:rsidRPr="00997899">
        <w:t xml:space="preserve">(this </w:t>
      </w:r>
      <w:r w:rsidR="00780B1A">
        <w:t xml:space="preserve">factor includes the </w:t>
      </w:r>
      <w:r w:rsidR="00C60EFB" w:rsidRPr="00997899">
        <w:t>unit conversion to gallons as well as the impervious area runoff coefficient of 0.95).</w:t>
      </w:r>
    </w:p>
    <w:p w:rsidR="0077784E" w:rsidRPr="00D807A9" w:rsidRDefault="0077784E" w:rsidP="005822D8">
      <w:pPr>
        <w:pStyle w:val="BodyText"/>
      </w:pPr>
      <w:r w:rsidRPr="00FA6577">
        <w:rPr>
          <w:rStyle w:val="Bold"/>
        </w:rPr>
        <w:t xml:space="preserve">Line 30– Vegetated swale </w:t>
      </w:r>
      <w:r w:rsidR="002B55E8" w:rsidRPr="00FA6577">
        <w:rPr>
          <w:rStyle w:val="Bold"/>
        </w:rPr>
        <w:t>runoff</w:t>
      </w:r>
      <w:r w:rsidRPr="00FA6577">
        <w:rPr>
          <w:rStyle w:val="Bold"/>
        </w:rPr>
        <w:t xml:space="preserve"> reduction volume (MG).</w:t>
      </w:r>
      <w:r w:rsidRPr="00D807A9">
        <w:t xml:space="preserve"> Divide runoff to </w:t>
      </w:r>
      <w:smartTag w:uri="urn:schemas-microsoft-com:office:smarttags" w:element="stockticker">
        <w:r w:rsidRPr="00D807A9">
          <w:t>CSS</w:t>
        </w:r>
      </w:smartTag>
      <w:r w:rsidRPr="00D807A9">
        <w:t xml:space="preserve"> eliminated </w:t>
      </w:r>
      <w:r w:rsidR="00CA6BF3">
        <w:t xml:space="preserve">because of </w:t>
      </w:r>
      <w:r w:rsidRPr="00D807A9">
        <w:t>vegetated swale installation (Line 29) by 1,000,000</w:t>
      </w:r>
      <w:r w:rsidR="00C60EFB" w:rsidRPr="00C60EFB">
        <w:t xml:space="preserve"> </w:t>
      </w:r>
      <w:r w:rsidR="00C60EFB">
        <w:t>to convert from gallons to MG</w:t>
      </w:r>
      <w:r w:rsidRPr="00D807A9">
        <w:t>.</w:t>
      </w:r>
    </w:p>
    <w:p w:rsidR="0062037C" w:rsidRDefault="0077784E" w:rsidP="005822D8">
      <w:pPr>
        <w:pStyle w:val="BodyText"/>
      </w:pPr>
      <w:r w:rsidRPr="00FA6577">
        <w:rPr>
          <w:rStyle w:val="Bold"/>
        </w:rPr>
        <w:t>Line 31– Unit cost per square foot for vegetated swale installation.</w:t>
      </w:r>
      <w:r w:rsidRPr="00D807A9">
        <w:t xml:space="preserve"> </w:t>
      </w:r>
      <w:r w:rsidR="00C60EFB" w:rsidRPr="00A73946">
        <w:t>Unit costs</w:t>
      </w:r>
      <w:r w:rsidR="00C60EFB">
        <w:t xml:space="preserve"> for vegetated swale installations can vary significantly</w:t>
      </w:r>
      <w:r w:rsidR="0043213D">
        <w:t xml:space="preserve">. </w:t>
      </w:r>
      <w:r w:rsidR="00C60EFB">
        <w:t>Enter a cost that reflects local conditions or use the default value of $15 per square foot</w:t>
      </w:r>
      <w:r w:rsidR="0062037C">
        <w:t>.</w:t>
      </w:r>
    </w:p>
    <w:p w:rsidR="00C35BD7" w:rsidRDefault="0077784E" w:rsidP="005822D8">
      <w:pPr>
        <w:pStyle w:val="BodyText"/>
      </w:pPr>
      <w:r w:rsidRPr="00FA6577">
        <w:rPr>
          <w:rStyle w:val="Bold"/>
        </w:rPr>
        <w:lastRenderedPageBreak/>
        <w:t>Line 32– Fraction of publicly owned or subsidized vegetate</w:t>
      </w:r>
      <w:r w:rsidR="00780B1A" w:rsidRPr="00FA6577">
        <w:rPr>
          <w:rStyle w:val="Bold"/>
        </w:rPr>
        <w:t>d swales being installed</w:t>
      </w:r>
      <w:r w:rsidR="0062037C" w:rsidRPr="00FA6577">
        <w:rPr>
          <w:rStyle w:val="Bold"/>
        </w:rPr>
        <w:t>.</w:t>
      </w:r>
      <w:r w:rsidR="005822D8">
        <w:rPr>
          <w:rStyle w:val="Bold"/>
        </w:rPr>
        <w:t xml:space="preserve"> </w:t>
      </w:r>
      <w:r w:rsidR="00C60EFB" w:rsidRPr="0043315A">
        <w:t xml:space="preserve">Determine the </w:t>
      </w:r>
      <w:r w:rsidR="00C60EFB">
        <w:t xml:space="preserve">fraction of </w:t>
      </w:r>
      <w:r w:rsidR="00780B1A">
        <w:t xml:space="preserve">vegetated swales </w:t>
      </w:r>
      <w:r w:rsidR="00844CFE">
        <w:t>expected to be</w:t>
      </w:r>
      <w:r w:rsidR="00780B1A">
        <w:t xml:space="preserve"> installed that are to be</w:t>
      </w:r>
      <w:r w:rsidR="00C60EFB" w:rsidRPr="0043315A">
        <w:t xml:space="preserve"> publicly owned </w:t>
      </w:r>
      <w:r w:rsidR="00780B1A">
        <w:t>or</w:t>
      </w:r>
      <w:r w:rsidR="00C60EFB">
        <w:t xml:space="preserve"> partially or wholly subsidized with public funds. </w:t>
      </w:r>
      <w:r w:rsidR="00844CFE">
        <w:t>For private installations, c</w:t>
      </w:r>
      <w:r w:rsidR="00C60EFB">
        <w:t xml:space="preserve">ount only the portion of the total </w:t>
      </w:r>
      <w:r w:rsidR="00780B1A">
        <w:t>vegetated swale</w:t>
      </w:r>
      <w:r w:rsidR="00C60EFB">
        <w:t xml:space="preserve"> installation cost that is publicly funded (</w:t>
      </w:r>
      <w:r w:rsidR="00C60EFB" w:rsidRPr="007B3819">
        <w:rPr>
          <w:iCs/>
        </w:rPr>
        <w:t>i.e.</w:t>
      </w:r>
      <w:r w:rsidR="00C60EFB" w:rsidRPr="004D23B9">
        <w:rPr>
          <w:rStyle w:val="italic"/>
        </w:rPr>
        <w:t xml:space="preserve">, </w:t>
      </w:r>
      <w:r w:rsidR="00C60EFB">
        <w:t>if a public subsidy pays for 10</w:t>
      </w:r>
      <w:r w:rsidR="00CA6BF3">
        <w:t xml:space="preserve"> percent</w:t>
      </w:r>
      <w:r w:rsidR="00C60EFB">
        <w:t xml:space="preserve"> of a typical installation, </w:t>
      </w:r>
      <w:r w:rsidR="00780B1A">
        <w:t xml:space="preserve">count </w:t>
      </w:r>
      <w:r w:rsidR="00CA6BF3">
        <w:t xml:space="preserve">only </w:t>
      </w:r>
      <w:r w:rsidR="00780B1A">
        <w:t>10</w:t>
      </w:r>
      <w:r w:rsidR="00CA6BF3">
        <w:t xml:space="preserve"> percent</w:t>
      </w:r>
      <w:r w:rsidR="00780B1A">
        <w:t xml:space="preserve"> of that installation)</w:t>
      </w:r>
      <w:r w:rsidR="00C35BD7">
        <w:t xml:space="preserve">. </w:t>
      </w:r>
      <w:r w:rsidR="00CA6BF3">
        <w:t>The p</w:t>
      </w:r>
      <w:r w:rsidR="00C35BD7">
        <w:t>ermittee m</w:t>
      </w:r>
      <w:r w:rsidR="00CA6BF3">
        <w:t>ight</w:t>
      </w:r>
      <w:r w:rsidR="00C35BD7">
        <w:t xml:space="preserve"> also need to consider the incentive cost for vegetated swales in the public property and any related cost for future maintenance</w:t>
      </w:r>
      <w:r w:rsidR="00EA284F">
        <w:t>.</w:t>
      </w:r>
    </w:p>
    <w:p w:rsidR="0077784E" w:rsidRPr="00D807A9" w:rsidRDefault="0077784E" w:rsidP="005822D8">
      <w:pPr>
        <w:pStyle w:val="BodyText"/>
      </w:pPr>
      <w:r w:rsidRPr="00FA6577">
        <w:rPr>
          <w:rStyle w:val="Bold"/>
        </w:rPr>
        <w:t>Line 33– Estimated public cost of cumulative vegetative swale installation.</w:t>
      </w:r>
      <w:r w:rsidRPr="00D807A9">
        <w:t xml:space="preserve"> </w:t>
      </w:r>
      <w:r w:rsidR="00844CFE" w:rsidRPr="00BD7C32">
        <w:t xml:space="preserve">Some of the costs of </w:t>
      </w:r>
      <w:r w:rsidR="00844CFE">
        <w:t>vegetated swales</w:t>
      </w:r>
      <w:r w:rsidR="00844CFE" w:rsidRPr="00BD7C32">
        <w:t xml:space="preserve"> will be borne by private </w:t>
      </w:r>
      <w:r w:rsidR="00671B23">
        <w:t>entities</w:t>
      </w:r>
      <w:r w:rsidR="00844CFE" w:rsidRPr="00BD7C32">
        <w:t xml:space="preserve"> and will not be borne by</w:t>
      </w:r>
      <w:r w:rsidR="00844CFE" w:rsidRPr="00FA6577">
        <w:rPr>
          <w:rStyle w:val="Bold"/>
        </w:rPr>
        <w:t xml:space="preserve"> </w:t>
      </w:r>
      <w:r w:rsidR="00844CFE" w:rsidRPr="00BD7C32">
        <w:t>the permittee.</w:t>
      </w:r>
      <w:r w:rsidR="00844CFE" w:rsidRPr="00FA6577">
        <w:rPr>
          <w:rStyle w:val="Bold"/>
        </w:rPr>
        <w:t xml:space="preserve"> </w:t>
      </w:r>
      <w:r w:rsidR="00844CFE">
        <w:t>To determine the cost to the permittee</w:t>
      </w:r>
      <w:r w:rsidR="00CA6BF3">
        <w:t>,</w:t>
      </w:r>
      <w:r w:rsidR="00844CFE" w:rsidRPr="00D807A9">
        <w:t xml:space="preserve"> </w:t>
      </w:r>
      <w:r w:rsidR="00844CFE">
        <w:t>m</w:t>
      </w:r>
      <w:r w:rsidRPr="00D807A9">
        <w:t>ultiply cumulative footprint area (sq ft) of vegetated swales (Line 27) by unit cost per square foot for vegetated swale installation (Line 31) by fraction of publicly owned or subsi</w:t>
      </w:r>
      <w:r w:rsidR="00780B1A">
        <w:t>di</w:t>
      </w:r>
      <w:r w:rsidRPr="00D807A9">
        <w:t xml:space="preserve">zed vegetated swales </w:t>
      </w:r>
      <w:r w:rsidR="00844CFE">
        <w:t>expected to be</w:t>
      </w:r>
      <w:r w:rsidRPr="00D807A9">
        <w:t xml:space="preserve"> </w:t>
      </w:r>
      <w:r w:rsidR="00780B1A">
        <w:t>installed</w:t>
      </w:r>
      <w:r w:rsidRPr="00D807A9">
        <w:t xml:space="preserve"> (Line 32).</w:t>
      </w:r>
    </w:p>
    <w:p w:rsidR="0077784E" w:rsidRPr="00D807A9" w:rsidRDefault="0077784E" w:rsidP="003859D2">
      <w:pPr>
        <w:pStyle w:val="Heading2"/>
      </w:pPr>
      <w:bookmarkStart w:id="148" w:name="_Toc243725258"/>
      <w:bookmarkStart w:id="149" w:name="_Toc243809440"/>
      <w:bookmarkStart w:id="150" w:name="_Toc285015604"/>
      <w:r w:rsidRPr="00D807A9">
        <w:t>Permeable Pavement</w:t>
      </w:r>
      <w:bookmarkEnd w:id="148"/>
      <w:bookmarkEnd w:id="149"/>
      <w:bookmarkEnd w:id="150"/>
    </w:p>
    <w:p w:rsidR="0062037C" w:rsidRDefault="00DC4AFA" w:rsidP="005822D8">
      <w:pPr>
        <w:pStyle w:val="BodyText"/>
      </w:pPr>
      <w:r>
        <w:t xml:space="preserve">Permeable pavement </w:t>
      </w:r>
      <w:r w:rsidR="00105F1B">
        <w:t xml:space="preserve">(also referred to as pervious or porous pavement) </w:t>
      </w:r>
      <w:r w:rsidR="00C35BD7">
        <w:t>can be</w:t>
      </w:r>
      <w:r>
        <w:t xml:space="preserve"> used in lieu of traditional impervious pavements in applications that do not receive excessive vehicular loads (including parking lots, sidewalks, </w:t>
      </w:r>
      <w:r w:rsidR="002229BE">
        <w:t xml:space="preserve">playgrounds, </w:t>
      </w:r>
      <w:r>
        <w:t xml:space="preserve">parking lanes, driveways, </w:t>
      </w:r>
      <w:r w:rsidR="00CA6BF3">
        <w:t>and such</w:t>
      </w:r>
      <w:r>
        <w:t>)</w:t>
      </w:r>
      <w:r w:rsidR="0043213D">
        <w:t xml:space="preserve">. </w:t>
      </w:r>
      <w:r>
        <w:t xml:space="preserve">Permeable pavement includes a </w:t>
      </w:r>
      <w:r w:rsidRPr="00DC4AFA">
        <w:t xml:space="preserve">range of materials that allow the </w:t>
      </w:r>
      <w:r w:rsidR="00CA6BF3">
        <w:t>water t</w:t>
      </w:r>
      <w:r w:rsidR="00CA6BF3" w:rsidRPr="005822D8">
        <w:t>o</w:t>
      </w:r>
      <w:r w:rsidR="00CA6BF3">
        <w:t xml:space="preserve"> </w:t>
      </w:r>
      <w:r w:rsidRPr="00DC4AFA">
        <w:t xml:space="preserve">move </w:t>
      </w:r>
      <w:r>
        <w:t>through</w:t>
      </w:r>
      <w:r w:rsidRPr="00DC4AFA">
        <w:t xml:space="preserve"> the paving material</w:t>
      </w:r>
      <w:r w:rsidR="00105F1B">
        <w:t>, including permeable</w:t>
      </w:r>
      <w:r w:rsidRPr="00DC4AFA">
        <w:t xml:space="preserve"> asphalt, </w:t>
      </w:r>
      <w:r w:rsidR="00105F1B">
        <w:t>per</w:t>
      </w:r>
      <w:r w:rsidR="00105F1B" w:rsidRPr="005822D8">
        <w:t xml:space="preserve">meable </w:t>
      </w:r>
      <w:r w:rsidRPr="005822D8">
        <w:t>concrete, paving stones</w:t>
      </w:r>
      <w:r w:rsidR="00105F1B">
        <w:t xml:space="preserve">, </w:t>
      </w:r>
      <w:r w:rsidR="00105F1B">
        <w:t>interlocking pavers, and reinforced turf</w:t>
      </w:r>
      <w:r w:rsidR="00A116AC">
        <w:t>,</w:t>
      </w:r>
      <w:r w:rsidR="00105F1B">
        <w:t xml:space="preserve"> among others</w:t>
      </w:r>
      <w:r w:rsidR="0062037C">
        <w:t>.</w:t>
      </w:r>
    </w:p>
    <w:p w:rsidR="00DC4AFA" w:rsidRPr="00DC4AFA" w:rsidRDefault="00792147" w:rsidP="005822D8">
      <w:pPr>
        <w:pStyle w:val="BodyText"/>
      </w:pPr>
      <w:r>
        <w:t>Permeable pavement provides</w:t>
      </w:r>
      <w:r w:rsidRPr="00702019">
        <w:t xml:space="preserve"> stormwater quantity control</w:t>
      </w:r>
      <w:r>
        <w:t xml:space="preserve"> through runoff </w:t>
      </w:r>
      <w:r w:rsidRPr="00702019">
        <w:t>capture</w:t>
      </w:r>
      <w:r>
        <w:t xml:space="preserve"> and</w:t>
      </w:r>
      <w:r w:rsidRPr="00702019">
        <w:t xml:space="preserve"> infiltration</w:t>
      </w:r>
      <w:r w:rsidR="0043213D">
        <w:t xml:space="preserve">. </w:t>
      </w:r>
      <w:r>
        <w:t>Designs can vary by paving material, depth of sub-base materials, and the presence and location of any subsurface drainage structures</w:t>
      </w:r>
      <w:r w:rsidR="0043213D">
        <w:t xml:space="preserve">. </w:t>
      </w:r>
      <w:r>
        <w:t>Performance is highly site dependent and is affected primarily by the infiltration capacity of surrounding soils</w:t>
      </w:r>
      <w:r w:rsidR="0043213D">
        <w:t xml:space="preserve">. </w:t>
      </w:r>
      <w:r w:rsidR="00105F1B">
        <w:t xml:space="preserve">Local zoning and building codes should be consulted for any guidance on </w:t>
      </w:r>
      <w:r w:rsidR="007A731B">
        <w:t>permeable pavement</w:t>
      </w:r>
      <w:r w:rsidR="00105F1B">
        <w:t xml:space="preserve"> </w:t>
      </w:r>
      <w:r w:rsidR="00A116AC">
        <w:t>specifications</w:t>
      </w:r>
      <w:r w:rsidR="00105F1B">
        <w:t>.</w:t>
      </w:r>
    </w:p>
    <w:p w:rsidR="0077784E" w:rsidRPr="00D807A9" w:rsidRDefault="0077784E" w:rsidP="005822D8">
      <w:pPr>
        <w:pStyle w:val="BodyText"/>
      </w:pPr>
      <w:r w:rsidRPr="00FA6577">
        <w:rPr>
          <w:rStyle w:val="Bold"/>
        </w:rPr>
        <w:t>Line 34</w:t>
      </w:r>
      <w:r w:rsidRPr="00D807A9">
        <w:t xml:space="preserve"> </w:t>
      </w:r>
      <w:r w:rsidRPr="00FA6577">
        <w:rPr>
          <w:rStyle w:val="Bold"/>
        </w:rPr>
        <w:t xml:space="preserve">– Cumulative area (sq ft) of </w:t>
      </w:r>
      <w:r w:rsidR="00D6082B" w:rsidRPr="00FA6577">
        <w:rPr>
          <w:rStyle w:val="Bold"/>
        </w:rPr>
        <w:t>direct</w:t>
      </w:r>
      <w:r w:rsidR="005B40DF" w:rsidRPr="00FA6577">
        <w:rPr>
          <w:rStyle w:val="Bold"/>
        </w:rPr>
        <w:t xml:space="preserve">ly </w:t>
      </w:r>
      <w:r w:rsidR="00D6082B" w:rsidRPr="00FA6577">
        <w:rPr>
          <w:rStyle w:val="Bold"/>
        </w:rPr>
        <w:t xml:space="preserve">connected </w:t>
      </w:r>
      <w:r w:rsidRPr="00FA6577">
        <w:rPr>
          <w:rStyle w:val="Bold"/>
        </w:rPr>
        <w:t xml:space="preserve">pavement </w:t>
      </w:r>
      <w:r w:rsidR="00A116AC" w:rsidRPr="00FA6577">
        <w:rPr>
          <w:rStyle w:val="Bold"/>
        </w:rPr>
        <w:t xml:space="preserve">expected to be </w:t>
      </w:r>
      <w:r w:rsidRPr="00FA6577">
        <w:rPr>
          <w:rStyle w:val="Bold"/>
        </w:rPr>
        <w:t>replaced with permeable pavement.</w:t>
      </w:r>
      <w:r w:rsidR="00792147" w:rsidRPr="00FA6577">
        <w:rPr>
          <w:rStyle w:val="Bold"/>
        </w:rPr>
        <w:t xml:space="preserve"> </w:t>
      </w:r>
      <w:r w:rsidR="00792147">
        <w:t xml:space="preserve">Most permeable pavement retrofit applications are installed </w:t>
      </w:r>
      <w:r w:rsidR="00383E4D">
        <w:t>as</w:t>
      </w:r>
      <w:r w:rsidR="00792147">
        <w:t xml:space="preserve"> complete or partial</w:t>
      </w:r>
      <w:r w:rsidR="00C67F5D">
        <w:t xml:space="preserve"> replace</w:t>
      </w:r>
      <w:r w:rsidR="00383E4D">
        <w:t>ments of</w:t>
      </w:r>
      <w:r w:rsidR="00C67F5D">
        <w:t xml:space="preserve"> existing impervious pavement. </w:t>
      </w:r>
      <w:r w:rsidR="00C67F5D">
        <w:rPr>
          <w:bCs/>
        </w:rPr>
        <w:t xml:space="preserve">Permeable pavement applications typically are not designed to accept runoff from other vegetated or non-impervious areas. </w:t>
      </w:r>
      <w:r w:rsidR="00383E4D">
        <w:rPr>
          <w:bCs/>
        </w:rPr>
        <w:t>E</w:t>
      </w:r>
      <w:r w:rsidR="00792147" w:rsidRPr="00D807A9">
        <w:t xml:space="preserve">nter </w:t>
      </w:r>
      <w:r w:rsidR="00792147">
        <w:t>the</w:t>
      </w:r>
      <w:r w:rsidR="00792147" w:rsidRPr="00D807A9">
        <w:t xml:space="preserve"> </w:t>
      </w:r>
      <w:r w:rsidR="00792147" w:rsidRPr="004D23B9">
        <w:rPr>
          <w:rStyle w:val="italic"/>
        </w:rPr>
        <w:t>existing</w:t>
      </w:r>
      <w:r w:rsidR="00792147">
        <w:t xml:space="preserve"> cumulative </w:t>
      </w:r>
      <w:r w:rsidR="00D6082B">
        <w:t>direct</w:t>
      </w:r>
      <w:r w:rsidR="005B40DF">
        <w:t xml:space="preserve">ly </w:t>
      </w:r>
      <w:r w:rsidR="00D6082B">
        <w:t xml:space="preserve">connected </w:t>
      </w:r>
      <w:r w:rsidR="00383E4D">
        <w:t>impervious pavement</w:t>
      </w:r>
      <w:r w:rsidR="00792147">
        <w:t xml:space="preserve"> within the sub-sewershed(s) that </w:t>
      </w:r>
      <w:r w:rsidR="00A116AC">
        <w:t>is expected to</w:t>
      </w:r>
      <w:r w:rsidR="00792147">
        <w:t xml:space="preserve"> be </w:t>
      </w:r>
      <w:r w:rsidR="00C67F5D">
        <w:t>replaced with permeable pavement</w:t>
      </w:r>
      <w:r w:rsidR="00792147">
        <w:t xml:space="preserve"> over the planning horizon.</w:t>
      </w:r>
    </w:p>
    <w:p w:rsidR="0062037C" w:rsidRDefault="0077784E" w:rsidP="005822D8">
      <w:pPr>
        <w:pStyle w:val="BodyText"/>
      </w:pPr>
      <w:r w:rsidRPr="00FA6577">
        <w:rPr>
          <w:rStyle w:val="Bold"/>
        </w:rPr>
        <w:t>Line 35 – Average permeable pavement runoff reduction rate.</w:t>
      </w:r>
      <w:r w:rsidR="00383E4D">
        <w:t xml:space="preserve"> </w:t>
      </w:r>
      <w:r w:rsidR="00383E4D">
        <w:rPr>
          <w:bCs/>
        </w:rPr>
        <w:t>T</w:t>
      </w:r>
      <w:r w:rsidR="00383E4D" w:rsidRPr="00A120FE">
        <w:rPr>
          <w:bCs/>
        </w:rPr>
        <w:t>he</w:t>
      </w:r>
      <w:r w:rsidR="00383E4D">
        <w:t xml:space="preserve"> runoff reduction potential of permeable pavement depends on a number of site specific factors</w:t>
      </w:r>
      <w:r w:rsidR="00A116AC">
        <w:t>,</w:t>
      </w:r>
      <w:r w:rsidR="00383E4D">
        <w:t xml:space="preserve"> including the topography and infiltration capacity of local soils</w:t>
      </w:r>
      <w:r w:rsidR="0043213D">
        <w:t xml:space="preserve">. </w:t>
      </w:r>
      <w:r w:rsidR="009C4534">
        <w:t>O</w:t>
      </w:r>
      <w:r w:rsidR="00383E4D">
        <w:t xml:space="preserve">n </w:t>
      </w:r>
      <w:r w:rsidR="009C4534" w:rsidRPr="009C4534">
        <w:t xml:space="preserve">the basis of </w:t>
      </w:r>
      <w:r w:rsidR="00383E4D">
        <w:t>a general understanding of th</w:t>
      </w:r>
      <w:r w:rsidR="009C4534">
        <w:t>o</w:t>
      </w:r>
      <w:r w:rsidR="00383E4D">
        <w:t>se local conditions in the sub-sewershed, select a runoff reduction rate from Table 3 and enter it on Line 35</w:t>
      </w:r>
      <w:r w:rsidR="0043213D">
        <w:t xml:space="preserve">. </w:t>
      </w:r>
      <w:r w:rsidR="00383E4D">
        <w:t xml:space="preserve">The permittee can use a runoff reduction rate that is higher than </w:t>
      </w:r>
      <w:r w:rsidR="00383E4D">
        <w:t>those listed in Table 3 only if it is appropriately documented</w:t>
      </w:r>
      <w:r w:rsidR="0062037C">
        <w:t>.</w:t>
      </w:r>
    </w:p>
    <w:p w:rsidR="0077784E" w:rsidRPr="00D807A9" w:rsidRDefault="0077784E" w:rsidP="005822D8">
      <w:pPr>
        <w:pStyle w:val="BodyText"/>
      </w:pPr>
      <w:r w:rsidRPr="00FA6577">
        <w:rPr>
          <w:rStyle w:val="Bold"/>
        </w:rPr>
        <w:t xml:space="preserve">Line 36 – Runoff to </w:t>
      </w:r>
      <w:smartTag w:uri="urn:schemas-microsoft-com:office:smarttags" w:element="stockticker">
        <w:r w:rsidRPr="00FA6577">
          <w:rPr>
            <w:rStyle w:val="Bold"/>
          </w:rPr>
          <w:t>CSS</w:t>
        </w:r>
      </w:smartTag>
      <w:r w:rsidRPr="00FA6577">
        <w:rPr>
          <w:rStyle w:val="Bold"/>
        </w:rPr>
        <w:t xml:space="preserve"> </w:t>
      </w:r>
      <w:r w:rsidR="00A116AC" w:rsidRPr="00FA6577">
        <w:rPr>
          <w:rStyle w:val="Bold"/>
        </w:rPr>
        <w:t xml:space="preserve">expected to be </w:t>
      </w:r>
      <w:r w:rsidRPr="00FA6577">
        <w:rPr>
          <w:rStyle w:val="Bold"/>
        </w:rPr>
        <w:t>eliminated due to permeable pavement installation</w:t>
      </w:r>
      <w:r w:rsidR="0043213D" w:rsidRPr="00FA6577">
        <w:rPr>
          <w:rStyle w:val="Bold"/>
        </w:rPr>
        <w:t xml:space="preserve">. </w:t>
      </w:r>
      <w:r w:rsidRPr="00D807A9">
        <w:t xml:space="preserve">Multiply </w:t>
      </w:r>
      <w:r w:rsidR="00C35BD7">
        <w:t xml:space="preserve">the </w:t>
      </w:r>
      <w:r w:rsidR="00CA6BF3">
        <w:t>24-hour</w:t>
      </w:r>
      <w:r w:rsidRPr="00D807A9">
        <w:t xml:space="preserve"> rainfall (inches) (Line 9) by </w:t>
      </w:r>
      <w:r w:rsidR="00C35BD7">
        <w:t xml:space="preserve">the </w:t>
      </w:r>
      <w:r w:rsidRPr="00D807A9">
        <w:t xml:space="preserve">cumulative area (sq ft) of </w:t>
      </w:r>
      <w:r w:rsidR="00D6082B">
        <w:t>direct</w:t>
      </w:r>
      <w:r w:rsidR="005B40DF">
        <w:t xml:space="preserve">ly </w:t>
      </w:r>
      <w:r w:rsidR="00D6082B">
        <w:t>connected</w:t>
      </w:r>
      <w:r w:rsidR="00D6082B" w:rsidRPr="00D807A9">
        <w:t xml:space="preserve"> </w:t>
      </w:r>
      <w:r w:rsidRPr="00D807A9">
        <w:t xml:space="preserve">pavement replaced with permeable pavement (Line 34) by </w:t>
      </w:r>
      <w:r w:rsidR="00C35BD7">
        <w:t xml:space="preserve">the </w:t>
      </w:r>
      <w:r w:rsidRPr="00D807A9">
        <w:t xml:space="preserve">average permeable pavement runoff reduction rate (Line 35). </w:t>
      </w:r>
      <w:r w:rsidR="00383E4D" w:rsidRPr="00D807A9">
        <w:t>Multiply</w:t>
      </w:r>
      <w:r w:rsidRPr="00D807A9">
        <w:t xml:space="preserve"> th</w:t>
      </w:r>
      <w:r w:rsidR="009C4534">
        <w:t>at</w:t>
      </w:r>
      <w:r w:rsidRPr="00D807A9">
        <w:t xml:space="preserve"> product by 0.5922</w:t>
      </w:r>
      <w:r w:rsidR="00383E4D">
        <w:t xml:space="preserve"> </w:t>
      </w:r>
      <w:r w:rsidR="00383E4D" w:rsidRPr="00997899">
        <w:t xml:space="preserve">(this </w:t>
      </w:r>
      <w:r w:rsidR="00383E4D">
        <w:t xml:space="preserve">factor includes the </w:t>
      </w:r>
      <w:r w:rsidR="00383E4D" w:rsidRPr="00997899">
        <w:t>unit conversion to gallons as well as the impervious area runoff coefficient of 0.95).</w:t>
      </w:r>
    </w:p>
    <w:p w:rsidR="0077784E" w:rsidRPr="00D807A9" w:rsidRDefault="0077784E" w:rsidP="005822D8">
      <w:pPr>
        <w:pStyle w:val="BodyText"/>
      </w:pPr>
      <w:r w:rsidRPr="00FA6577">
        <w:rPr>
          <w:rStyle w:val="Bold"/>
        </w:rPr>
        <w:t xml:space="preserve">Line 37– Permeable pavement </w:t>
      </w:r>
      <w:r w:rsidR="002B55E8" w:rsidRPr="00FA6577">
        <w:rPr>
          <w:rStyle w:val="Bold"/>
        </w:rPr>
        <w:t>runoff</w:t>
      </w:r>
      <w:r w:rsidRPr="00FA6577">
        <w:rPr>
          <w:rStyle w:val="Bold"/>
        </w:rPr>
        <w:t xml:space="preserve"> reduction volume (MG).</w:t>
      </w:r>
      <w:r w:rsidRPr="00D807A9">
        <w:t xml:space="preserve"> Divide </w:t>
      </w:r>
      <w:r w:rsidR="00C35BD7">
        <w:t xml:space="preserve">the </w:t>
      </w:r>
      <w:r w:rsidRPr="00D807A9">
        <w:t xml:space="preserve">runoff to </w:t>
      </w:r>
      <w:smartTag w:uri="urn:schemas-microsoft-com:office:smarttags" w:element="stockticker">
        <w:r w:rsidRPr="00D807A9">
          <w:t>CSS</w:t>
        </w:r>
      </w:smartTag>
      <w:r w:rsidRPr="00D807A9">
        <w:t xml:space="preserve"> eliminated due to permeable pavement installation (Line 36) by 1,000,000</w:t>
      </w:r>
      <w:r w:rsidR="00D927A9" w:rsidRPr="00D927A9">
        <w:t xml:space="preserve"> </w:t>
      </w:r>
      <w:r w:rsidR="00D927A9">
        <w:t>to convert from gallons to MG</w:t>
      </w:r>
      <w:r w:rsidR="00D927A9" w:rsidRPr="00D807A9">
        <w:t>.</w:t>
      </w:r>
    </w:p>
    <w:p w:rsidR="0077784E" w:rsidRPr="00D807A9" w:rsidRDefault="0077784E" w:rsidP="005822D8">
      <w:pPr>
        <w:pStyle w:val="BodyText"/>
      </w:pPr>
      <w:r w:rsidRPr="00FA6577">
        <w:rPr>
          <w:rStyle w:val="Bold"/>
        </w:rPr>
        <w:t>Line 38– Unit cost per square foot for permeable pavement installation.</w:t>
      </w:r>
      <w:r w:rsidRPr="00D807A9">
        <w:t xml:space="preserve"> </w:t>
      </w:r>
      <w:r w:rsidR="00E606E0" w:rsidRPr="00A73946">
        <w:t>Unit costs</w:t>
      </w:r>
      <w:r w:rsidR="00E606E0">
        <w:t xml:space="preserve"> for permeable pavement installations can vary significantly</w:t>
      </w:r>
      <w:r w:rsidR="0043213D">
        <w:t xml:space="preserve">. </w:t>
      </w:r>
      <w:r w:rsidR="00E606E0">
        <w:t>Enter a cost that reflects local conditions or use the default value of $7 per square foot.</w:t>
      </w:r>
    </w:p>
    <w:p w:rsidR="00E606E0" w:rsidRPr="00D807A9" w:rsidRDefault="0077784E" w:rsidP="005822D8">
      <w:pPr>
        <w:pStyle w:val="BodyText"/>
      </w:pPr>
      <w:r w:rsidRPr="00FA6577">
        <w:rPr>
          <w:rStyle w:val="Bold"/>
        </w:rPr>
        <w:t>Line 39– Fraction of publicly owned or subsidized permeable pavement installations</w:t>
      </w:r>
      <w:r w:rsidR="0043213D" w:rsidRPr="00FA6577">
        <w:rPr>
          <w:rStyle w:val="Bold"/>
        </w:rPr>
        <w:t xml:space="preserve">. </w:t>
      </w:r>
      <w:r w:rsidR="00E606E0" w:rsidRPr="0043315A">
        <w:t xml:space="preserve">Determine the </w:t>
      </w:r>
      <w:r w:rsidR="00E606E0">
        <w:t>fraction of permeable pavement applications being installed that are to be</w:t>
      </w:r>
      <w:r w:rsidR="00E606E0" w:rsidRPr="0043315A">
        <w:t xml:space="preserve"> publicly owned </w:t>
      </w:r>
      <w:r w:rsidR="00E606E0">
        <w:t xml:space="preserve">or partially or wholly subsidized with public funds. </w:t>
      </w:r>
      <w:r w:rsidR="00A116AC">
        <w:t>For private installations, c</w:t>
      </w:r>
      <w:r w:rsidR="00E606E0">
        <w:t>ount only the portion of the total permeable pavement installation cost that is publicly funded (</w:t>
      </w:r>
      <w:r w:rsidR="00E606E0" w:rsidRPr="007B3819">
        <w:rPr>
          <w:iCs/>
        </w:rPr>
        <w:t>i.e.</w:t>
      </w:r>
      <w:r w:rsidR="00E606E0" w:rsidRPr="009C4534">
        <w:rPr>
          <w:iCs/>
        </w:rPr>
        <w:t>,</w:t>
      </w:r>
      <w:r w:rsidR="00E606E0" w:rsidRPr="009C4534">
        <w:t xml:space="preserve"> </w:t>
      </w:r>
      <w:r w:rsidR="00E606E0">
        <w:t>if a public subsidy pays for 10</w:t>
      </w:r>
      <w:r w:rsidR="00CA6BF3">
        <w:t xml:space="preserve"> percent</w:t>
      </w:r>
      <w:r w:rsidR="00E606E0">
        <w:t xml:space="preserve"> of a typical installation, count </w:t>
      </w:r>
      <w:r w:rsidR="009C4534">
        <w:t xml:space="preserve">only </w:t>
      </w:r>
      <w:r w:rsidR="00E606E0">
        <w:t>10</w:t>
      </w:r>
      <w:r w:rsidR="00CA6BF3">
        <w:t xml:space="preserve"> percent</w:t>
      </w:r>
      <w:r w:rsidR="00E606E0">
        <w:t xml:space="preserve"> of that installation)</w:t>
      </w:r>
    </w:p>
    <w:p w:rsidR="0077784E" w:rsidRPr="00D807A9" w:rsidRDefault="0077784E" w:rsidP="005822D8">
      <w:pPr>
        <w:pStyle w:val="BodyText"/>
      </w:pPr>
      <w:r w:rsidRPr="00FA6577">
        <w:rPr>
          <w:rStyle w:val="Bold"/>
        </w:rPr>
        <w:t>Line 40– Estimated public cost of cumulative permeable pavement installation.</w:t>
      </w:r>
      <w:r w:rsidRPr="00D807A9">
        <w:t xml:space="preserve"> </w:t>
      </w:r>
      <w:r w:rsidR="00A116AC" w:rsidRPr="00BD7C32">
        <w:t xml:space="preserve">Some </w:t>
      </w:r>
      <w:r w:rsidR="00A116AC" w:rsidRPr="00BD7C32">
        <w:lastRenderedPageBreak/>
        <w:t xml:space="preserve">of the costs of </w:t>
      </w:r>
      <w:r w:rsidR="00A116AC">
        <w:t>permeable pavement</w:t>
      </w:r>
      <w:r w:rsidR="00A116AC" w:rsidRPr="00BD7C32">
        <w:t xml:space="preserve"> will be borne by private </w:t>
      </w:r>
      <w:r w:rsidR="00722ED6">
        <w:t>entities</w:t>
      </w:r>
      <w:r w:rsidR="00A116AC" w:rsidRPr="00BD7C32">
        <w:t xml:space="preserve"> and will not be borne by</w:t>
      </w:r>
      <w:r w:rsidR="00A116AC" w:rsidRPr="00FA6577">
        <w:rPr>
          <w:rStyle w:val="Bold"/>
        </w:rPr>
        <w:t xml:space="preserve"> </w:t>
      </w:r>
      <w:r w:rsidR="00A116AC" w:rsidRPr="00BD7C32">
        <w:t>the permittee.</w:t>
      </w:r>
      <w:r w:rsidR="00A116AC" w:rsidRPr="00FA6577">
        <w:rPr>
          <w:rStyle w:val="Bold"/>
        </w:rPr>
        <w:t xml:space="preserve"> </w:t>
      </w:r>
      <w:r w:rsidR="00A116AC">
        <w:t>To determine the cost to the permittee</w:t>
      </w:r>
      <w:r w:rsidR="00CA6BF3">
        <w:t>,</w:t>
      </w:r>
      <w:r w:rsidR="00A116AC" w:rsidRPr="00D807A9">
        <w:t xml:space="preserve"> </w:t>
      </w:r>
      <w:r w:rsidR="00A116AC">
        <w:t>m</w:t>
      </w:r>
      <w:r w:rsidRPr="00D807A9">
        <w:t xml:space="preserve">ultiply </w:t>
      </w:r>
      <w:r w:rsidR="00E606E0">
        <w:t xml:space="preserve">the </w:t>
      </w:r>
      <w:r w:rsidRPr="00D807A9">
        <w:t xml:space="preserve">cumulative area (sq ft) of </w:t>
      </w:r>
      <w:r w:rsidR="00E606E0">
        <w:t xml:space="preserve">traditional </w:t>
      </w:r>
      <w:r w:rsidRPr="00D807A9">
        <w:t xml:space="preserve">pavement </w:t>
      </w:r>
      <w:r w:rsidR="00A116AC">
        <w:t xml:space="preserve">expected to be </w:t>
      </w:r>
      <w:r w:rsidRPr="00D807A9">
        <w:t xml:space="preserve">replaced with permeable pavement (Line 34) by </w:t>
      </w:r>
      <w:r w:rsidR="00E606E0">
        <w:t xml:space="preserve">the </w:t>
      </w:r>
      <w:r w:rsidRPr="00D807A9">
        <w:t xml:space="preserve">unit cost per square foot for permeable pavement installation (Line 38) by </w:t>
      </w:r>
      <w:r w:rsidR="00E606E0">
        <w:t>the f</w:t>
      </w:r>
      <w:r w:rsidRPr="00D807A9">
        <w:t>raction of publicly owned or sub</w:t>
      </w:r>
      <w:r w:rsidR="00E606E0">
        <w:t>sid</w:t>
      </w:r>
      <w:r w:rsidRPr="00D807A9">
        <w:t>ized permeable pavement installations (Line 39).</w:t>
      </w:r>
    </w:p>
    <w:p w:rsidR="0077784E" w:rsidRPr="00D807A9" w:rsidRDefault="0077784E" w:rsidP="003859D2">
      <w:pPr>
        <w:pStyle w:val="Heading2"/>
      </w:pPr>
      <w:bookmarkStart w:id="151" w:name="_Toc243725259"/>
      <w:bookmarkStart w:id="152" w:name="_Toc243809441"/>
      <w:bookmarkStart w:id="153" w:name="_Toc285015605"/>
      <w:r w:rsidRPr="00D807A9">
        <w:t>Rain Barrels and Cisterns</w:t>
      </w:r>
      <w:bookmarkEnd w:id="151"/>
      <w:bookmarkEnd w:id="152"/>
      <w:bookmarkEnd w:id="153"/>
    </w:p>
    <w:p w:rsidR="007A731B" w:rsidRPr="007A731B" w:rsidRDefault="007A731B" w:rsidP="005822D8">
      <w:pPr>
        <w:pStyle w:val="BodyText"/>
      </w:pPr>
      <w:r w:rsidRPr="007A731B">
        <w:t xml:space="preserve">Rain barrels and cisterns are </w:t>
      </w:r>
      <w:r>
        <w:t>storage</w:t>
      </w:r>
      <w:r w:rsidRPr="007A731B">
        <w:t xml:space="preserve"> devices that </w:t>
      </w:r>
      <w:r>
        <w:t>can be used</w:t>
      </w:r>
      <w:r w:rsidRPr="007A731B">
        <w:t xml:space="preserve"> to manage rooftop runoff </w:t>
      </w:r>
      <w:r>
        <w:t xml:space="preserve">from </w:t>
      </w:r>
      <w:r w:rsidRPr="007A731B">
        <w:t>residential,</w:t>
      </w:r>
      <w:r>
        <w:t xml:space="preserve"> commercial and industrial buildings</w:t>
      </w:r>
      <w:r w:rsidR="0043213D">
        <w:t xml:space="preserve">. </w:t>
      </w:r>
      <w:r>
        <w:t xml:space="preserve">Both rain barrels and cisterns typically include connection to a rooftop </w:t>
      </w:r>
      <w:r w:rsidRPr="007A731B">
        <w:t>downspout, an overflow pipe</w:t>
      </w:r>
      <w:r>
        <w:t>,</w:t>
      </w:r>
      <w:r w:rsidRPr="007A731B">
        <w:t xml:space="preserve"> and a </w:t>
      </w:r>
      <w:r>
        <w:t xml:space="preserve">drainage </w:t>
      </w:r>
      <w:r w:rsidRPr="007A731B">
        <w:t>spigot at or near the bottom</w:t>
      </w:r>
      <w:r w:rsidR="0043213D">
        <w:t xml:space="preserve">. </w:t>
      </w:r>
      <w:r>
        <w:t>Rain barrels are more likely to be used in residential settings</w:t>
      </w:r>
      <w:r w:rsidR="00402B3C">
        <w:t>,</w:t>
      </w:r>
      <w:r>
        <w:t xml:space="preserve"> </w:t>
      </w:r>
      <w:r w:rsidR="009C4534">
        <w:t>because</w:t>
      </w:r>
      <w:r>
        <w:t xml:space="preserve"> they are typically smaller (50</w:t>
      </w:r>
      <w:r w:rsidR="009C4534">
        <w:t>–</w:t>
      </w:r>
      <w:smartTag w:uri="urn:schemas-microsoft-com:office:smarttags" w:element="metricconverter">
        <w:smartTagPr>
          <w:attr w:name="ProductID" w:val="150 gallons"/>
        </w:smartTagPr>
        <w:r>
          <w:t>150 gallons</w:t>
        </w:r>
      </w:smartTag>
      <w:r>
        <w:t>)</w:t>
      </w:r>
      <w:r w:rsidR="0043213D">
        <w:t xml:space="preserve">. </w:t>
      </w:r>
      <w:r w:rsidRPr="007A731B">
        <w:t xml:space="preserve">Cisterns are generally larger </w:t>
      </w:r>
      <w:r>
        <w:t xml:space="preserve">(typically between 1,500 and </w:t>
      </w:r>
      <w:smartTag w:uri="urn:schemas-microsoft-com:office:smarttags" w:element="metricconverter">
        <w:smartTagPr>
          <w:attr w:name="ProductID" w:val="10,000 gallons"/>
        </w:smartTagPr>
        <w:r>
          <w:t>10,000 gallons</w:t>
        </w:r>
      </w:smartTag>
      <w:r>
        <w:t>) and can be placed above ground or underground. With either device, stored water</w:t>
      </w:r>
      <w:r w:rsidRPr="007A731B">
        <w:t xml:space="preserve"> can be used for </w:t>
      </w:r>
      <w:r>
        <w:t>irrigation</w:t>
      </w:r>
      <w:r w:rsidRPr="007A731B">
        <w:t xml:space="preserve"> or other </w:t>
      </w:r>
      <w:r>
        <w:t>non-potable uses</w:t>
      </w:r>
      <w:r w:rsidR="0043213D">
        <w:t xml:space="preserve">. </w:t>
      </w:r>
      <w:r>
        <w:t xml:space="preserve">Local zoning and building codes should be consulted for any guidance on rain barrels or cistern </w:t>
      </w:r>
      <w:r w:rsidR="00402B3C">
        <w:t>specifications</w:t>
      </w:r>
      <w:r>
        <w:t>.</w:t>
      </w:r>
    </w:p>
    <w:p w:rsidR="007A731B" w:rsidRPr="00FA6577" w:rsidRDefault="0077784E" w:rsidP="00501CE1">
      <w:pPr>
        <w:pStyle w:val="BodyText"/>
        <w:rPr>
          <w:rStyle w:val="Bold"/>
        </w:rPr>
      </w:pPr>
      <w:r w:rsidRPr="00FA6577">
        <w:rPr>
          <w:rStyle w:val="Bold"/>
        </w:rPr>
        <w:t>Line 41</w:t>
      </w:r>
      <w:r w:rsidRPr="00D807A9">
        <w:t xml:space="preserve"> </w:t>
      </w:r>
      <w:r w:rsidRPr="00FA6577">
        <w:rPr>
          <w:rStyle w:val="Bold"/>
        </w:rPr>
        <w:t xml:space="preserve">– Number of </w:t>
      </w:r>
      <w:r w:rsidR="007A731B" w:rsidRPr="00FA6577">
        <w:rPr>
          <w:rStyle w:val="Bold"/>
        </w:rPr>
        <w:t xml:space="preserve">buildings with </w:t>
      </w:r>
      <w:r w:rsidRPr="00FA6577">
        <w:rPr>
          <w:rStyle w:val="Bold"/>
        </w:rPr>
        <w:t xml:space="preserve">rain barrels/cisterns </w:t>
      </w:r>
      <w:r w:rsidR="00402B3C" w:rsidRPr="00FA6577">
        <w:rPr>
          <w:rStyle w:val="Bold"/>
        </w:rPr>
        <w:t xml:space="preserve">expected to be </w:t>
      </w:r>
      <w:r w:rsidRPr="00FA6577">
        <w:rPr>
          <w:rStyle w:val="Bold"/>
        </w:rPr>
        <w:t>installed</w:t>
      </w:r>
      <w:r w:rsidR="0043213D" w:rsidRPr="00FA6577">
        <w:rPr>
          <w:rStyle w:val="Bold"/>
        </w:rPr>
        <w:t xml:space="preserve">. </w:t>
      </w:r>
      <w:r w:rsidR="007A731B" w:rsidRPr="00D807A9">
        <w:t xml:space="preserve">Enter the number of </w:t>
      </w:r>
      <w:r w:rsidR="007A731B" w:rsidRPr="004D23B9">
        <w:rPr>
          <w:rStyle w:val="italic"/>
        </w:rPr>
        <w:t>existing</w:t>
      </w:r>
      <w:r w:rsidR="007A731B" w:rsidRPr="00D807A9">
        <w:t xml:space="preserve"> </w:t>
      </w:r>
      <w:r w:rsidR="00D6082B">
        <w:t>direct</w:t>
      </w:r>
      <w:r w:rsidR="005B40DF">
        <w:t xml:space="preserve">ly </w:t>
      </w:r>
      <w:r w:rsidR="00D6082B">
        <w:t>connected</w:t>
      </w:r>
      <w:r w:rsidR="00D6082B" w:rsidRPr="00D807A9">
        <w:t xml:space="preserve"> </w:t>
      </w:r>
      <w:r w:rsidR="007A731B" w:rsidRPr="00D807A9">
        <w:t xml:space="preserve">buildings </w:t>
      </w:r>
      <w:r w:rsidR="007A731B">
        <w:t xml:space="preserve">where rain barrels or cisterns </w:t>
      </w:r>
      <w:r w:rsidR="007A731B" w:rsidRPr="00D807A9">
        <w:t xml:space="preserve">are </w:t>
      </w:r>
      <w:r w:rsidR="007A731B">
        <w:t xml:space="preserve">expected </w:t>
      </w:r>
      <w:r w:rsidR="007A731B" w:rsidRPr="00D807A9">
        <w:t>to be installed</w:t>
      </w:r>
      <w:r w:rsidR="007A731B">
        <w:t xml:space="preserve"> over the previously established planning horizon</w:t>
      </w:r>
      <w:r w:rsidR="007A731B" w:rsidRPr="00D807A9">
        <w:t>.</w:t>
      </w:r>
    </w:p>
    <w:p w:rsidR="0077784E" w:rsidRPr="00583CBC" w:rsidRDefault="0077784E" w:rsidP="00501CE1">
      <w:pPr>
        <w:pStyle w:val="BodyText"/>
      </w:pPr>
      <w:r w:rsidRPr="00FA6577">
        <w:rPr>
          <w:rStyle w:val="Bold"/>
        </w:rPr>
        <w:t>Line 42</w:t>
      </w:r>
      <w:r w:rsidRPr="00D807A9">
        <w:t xml:space="preserve"> </w:t>
      </w:r>
      <w:r w:rsidRPr="00FA6577">
        <w:rPr>
          <w:rStyle w:val="Bold"/>
        </w:rPr>
        <w:t xml:space="preserve">– Average volume (gallons) of the rain </w:t>
      </w:r>
      <w:r w:rsidRPr="00FA6577">
        <w:rPr>
          <w:rStyle w:val="Bold"/>
        </w:rPr>
        <w:t>barrels/cisterns</w:t>
      </w:r>
      <w:r w:rsidR="0043213D" w:rsidRPr="00FA6577">
        <w:rPr>
          <w:rStyle w:val="Bold"/>
        </w:rPr>
        <w:t xml:space="preserve">. </w:t>
      </w:r>
      <w:r w:rsidR="00583CBC" w:rsidRPr="00583CBC">
        <w:t>Enter the average volume in gallons of the rain barrels and cisterns that will be installed.</w:t>
      </w:r>
    </w:p>
    <w:p w:rsidR="0077784E" w:rsidRPr="00D807A9" w:rsidRDefault="0077784E" w:rsidP="00501CE1">
      <w:pPr>
        <w:pStyle w:val="BodyText"/>
      </w:pPr>
      <w:r w:rsidRPr="00FA6577">
        <w:rPr>
          <w:rStyle w:val="Bold"/>
        </w:rPr>
        <w:t>Line 43 – Average rain barrel/cistern runoff reduction rate.</w:t>
      </w:r>
      <w:r w:rsidRPr="00D807A9">
        <w:t xml:space="preserve"> </w:t>
      </w:r>
      <w:r w:rsidR="00583CBC">
        <w:rPr>
          <w:bCs/>
        </w:rPr>
        <w:t>T</w:t>
      </w:r>
      <w:r w:rsidR="00583CBC" w:rsidRPr="00A120FE">
        <w:rPr>
          <w:bCs/>
        </w:rPr>
        <w:t>he</w:t>
      </w:r>
      <w:r w:rsidR="00583CBC">
        <w:t xml:space="preserve"> runoff reduction potential of a rain barrel or cistern depends </w:t>
      </w:r>
      <w:r w:rsidR="009C4534">
        <w:t>on</w:t>
      </w:r>
      <w:r w:rsidR="00583CBC">
        <w:t xml:space="preserve"> the capacity and how often it is emptied</w:t>
      </w:r>
      <w:r w:rsidR="0043213D">
        <w:t xml:space="preserve">. </w:t>
      </w:r>
      <w:r w:rsidR="00583CBC">
        <w:t>Select a runoff reduction rate from Table 3 and enter it on Line 43</w:t>
      </w:r>
      <w:r w:rsidR="0043213D">
        <w:t xml:space="preserve">. </w:t>
      </w:r>
      <w:r w:rsidR="00583CBC">
        <w:t>The permittee can use a runoff reduction rate that is higher than those listed in Table 3 only if it is appropriately documented.</w:t>
      </w:r>
    </w:p>
    <w:p w:rsidR="0077784E" w:rsidRPr="00D807A9" w:rsidRDefault="0077784E" w:rsidP="00501CE1">
      <w:pPr>
        <w:pStyle w:val="BodyText"/>
      </w:pPr>
      <w:r w:rsidRPr="00FA6577">
        <w:rPr>
          <w:rStyle w:val="Bold"/>
        </w:rPr>
        <w:t xml:space="preserve">Line 44 – Runoff to </w:t>
      </w:r>
      <w:smartTag w:uri="urn:schemas-microsoft-com:office:smarttags" w:element="stockticker">
        <w:r w:rsidRPr="00FA6577">
          <w:rPr>
            <w:rStyle w:val="Bold"/>
          </w:rPr>
          <w:t>CSS</w:t>
        </w:r>
      </w:smartTag>
      <w:r w:rsidRPr="00FA6577">
        <w:rPr>
          <w:rStyle w:val="Bold"/>
        </w:rPr>
        <w:t xml:space="preserve"> eliminated due to rain</w:t>
      </w:r>
      <w:r w:rsidR="00294229" w:rsidRPr="00FA6577">
        <w:rPr>
          <w:rStyle w:val="Bold"/>
        </w:rPr>
        <w:t xml:space="preserve"> </w:t>
      </w:r>
      <w:r w:rsidRPr="00FA6577">
        <w:rPr>
          <w:rStyle w:val="Bold"/>
        </w:rPr>
        <w:t>barrel/cistern installation</w:t>
      </w:r>
      <w:r w:rsidR="0043213D" w:rsidRPr="00FA6577">
        <w:rPr>
          <w:rStyle w:val="Bold"/>
        </w:rPr>
        <w:t xml:space="preserve">. </w:t>
      </w:r>
      <w:r w:rsidRPr="00D807A9">
        <w:t xml:space="preserve">Multiply number of </w:t>
      </w:r>
      <w:r w:rsidR="00583CBC">
        <w:t xml:space="preserve">buildings with rain barrels and </w:t>
      </w:r>
      <w:r w:rsidRPr="00D807A9">
        <w:t xml:space="preserve">cisterns </w:t>
      </w:r>
      <w:r w:rsidR="00402B3C">
        <w:t>expected to be</w:t>
      </w:r>
      <w:r w:rsidRPr="00D807A9">
        <w:t xml:space="preserve"> installed (Line 41) by </w:t>
      </w:r>
      <w:r w:rsidR="00583CBC">
        <w:t xml:space="preserve">the </w:t>
      </w:r>
      <w:r w:rsidRPr="00D807A9">
        <w:t xml:space="preserve">average volume (gallons) of the rain </w:t>
      </w:r>
      <w:r w:rsidR="00583CBC">
        <w:t xml:space="preserve">barrels and </w:t>
      </w:r>
      <w:r w:rsidRPr="00D807A9">
        <w:t xml:space="preserve">cisterns (Line 42) by </w:t>
      </w:r>
      <w:r w:rsidR="00583CBC">
        <w:t xml:space="preserve">the </w:t>
      </w:r>
      <w:r w:rsidRPr="00D807A9">
        <w:t>average rain barrel</w:t>
      </w:r>
      <w:r w:rsidR="00583CBC">
        <w:t xml:space="preserve"> and </w:t>
      </w:r>
      <w:r w:rsidRPr="00D807A9">
        <w:t>cistern runoff reduction rate (Line 43).</w:t>
      </w:r>
    </w:p>
    <w:p w:rsidR="00583CBC" w:rsidRPr="00D807A9" w:rsidRDefault="0077784E" w:rsidP="00501CE1">
      <w:pPr>
        <w:pStyle w:val="BodyText"/>
      </w:pPr>
      <w:r w:rsidRPr="00FA6577">
        <w:rPr>
          <w:rStyle w:val="Bold"/>
        </w:rPr>
        <w:t xml:space="preserve">Line 45– Rain barrel/cistern </w:t>
      </w:r>
      <w:r w:rsidR="002B55E8" w:rsidRPr="00FA6577">
        <w:rPr>
          <w:rStyle w:val="Bold"/>
        </w:rPr>
        <w:t>runoff</w:t>
      </w:r>
      <w:r w:rsidRPr="00FA6577">
        <w:rPr>
          <w:rStyle w:val="Bold"/>
        </w:rPr>
        <w:t xml:space="preserve"> reduction volume (MG).</w:t>
      </w:r>
      <w:r w:rsidRPr="00D807A9">
        <w:t xml:space="preserve"> Divide runoff to </w:t>
      </w:r>
      <w:smartTag w:uri="urn:schemas-microsoft-com:office:smarttags" w:element="stockticker">
        <w:r w:rsidRPr="00D807A9">
          <w:t>CSS</w:t>
        </w:r>
      </w:smartTag>
      <w:r w:rsidRPr="00D807A9">
        <w:t xml:space="preserve"> eliminated </w:t>
      </w:r>
      <w:r w:rsidR="009C4534">
        <w:t>because of</w:t>
      </w:r>
      <w:r w:rsidRPr="00D807A9">
        <w:t xml:space="preserve"> rain barrel/cistern installation (Line 44) by 1,000,000</w:t>
      </w:r>
      <w:r w:rsidR="00583CBC" w:rsidRPr="00583CBC">
        <w:t xml:space="preserve"> </w:t>
      </w:r>
      <w:r w:rsidR="00583CBC">
        <w:t>to convert from gallons to MG</w:t>
      </w:r>
      <w:r w:rsidR="00583CBC" w:rsidRPr="00D807A9">
        <w:t>.</w:t>
      </w:r>
    </w:p>
    <w:p w:rsidR="00583CBC" w:rsidRPr="00D807A9" w:rsidRDefault="0077784E" w:rsidP="00501CE1">
      <w:pPr>
        <w:pStyle w:val="BodyText"/>
      </w:pPr>
      <w:r w:rsidRPr="00FA6577">
        <w:rPr>
          <w:rStyle w:val="Bold"/>
        </w:rPr>
        <w:t>Line 46– Unit cost per rain barrel/cistern</w:t>
      </w:r>
      <w:r w:rsidR="00583CBC" w:rsidRPr="00FA6577">
        <w:rPr>
          <w:rStyle w:val="Bold"/>
        </w:rPr>
        <w:t xml:space="preserve"> capacity (gallons)</w:t>
      </w:r>
      <w:r w:rsidRPr="00FA6577">
        <w:rPr>
          <w:rStyle w:val="Bold"/>
        </w:rPr>
        <w:t>.</w:t>
      </w:r>
      <w:r w:rsidR="00501CE1">
        <w:rPr>
          <w:rStyle w:val="Bold"/>
        </w:rPr>
        <w:t xml:space="preserve"> </w:t>
      </w:r>
      <w:r w:rsidR="00583CBC" w:rsidRPr="00A73946">
        <w:t>Unit costs</w:t>
      </w:r>
      <w:r w:rsidR="00583CBC">
        <w:t xml:space="preserve"> for rain barrels and cisterns vary </w:t>
      </w:r>
      <w:r w:rsidR="009C4534">
        <w:t>by</w:t>
      </w:r>
      <w:r w:rsidR="00583CBC">
        <w:t xml:space="preserve"> size and type</w:t>
      </w:r>
      <w:r w:rsidR="0043213D">
        <w:t xml:space="preserve">. </w:t>
      </w:r>
      <w:r w:rsidR="00583CBC">
        <w:t>Enter a cost per gallon that reflects local conditions or use the default value of $1.25 per gallon.</w:t>
      </w:r>
    </w:p>
    <w:p w:rsidR="00583CBC" w:rsidRPr="00D807A9" w:rsidRDefault="0077784E" w:rsidP="00501CE1">
      <w:pPr>
        <w:pStyle w:val="BodyText"/>
      </w:pPr>
      <w:r w:rsidRPr="00FA6577">
        <w:rPr>
          <w:rStyle w:val="Bold"/>
        </w:rPr>
        <w:t>Line 47– Fraction of publicly owned or subsidized rain barrels/cisterns</w:t>
      </w:r>
      <w:r w:rsidR="0043213D" w:rsidRPr="00FA6577">
        <w:rPr>
          <w:rStyle w:val="Bold"/>
        </w:rPr>
        <w:t xml:space="preserve">. </w:t>
      </w:r>
      <w:r w:rsidR="00583CBC" w:rsidRPr="0043315A">
        <w:t xml:space="preserve">Determine the </w:t>
      </w:r>
      <w:r w:rsidR="00583CBC">
        <w:t>fraction of rain barrels and cisterns being installed that are to be</w:t>
      </w:r>
      <w:r w:rsidR="00583CBC" w:rsidRPr="0043315A">
        <w:t xml:space="preserve"> publicly owned </w:t>
      </w:r>
      <w:r w:rsidR="00583CBC">
        <w:t xml:space="preserve">or partially or wholly subsidized with public funds. </w:t>
      </w:r>
      <w:r w:rsidR="00402B3C">
        <w:t>For private installations, c</w:t>
      </w:r>
      <w:r w:rsidR="00583CBC">
        <w:t xml:space="preserve">ount only the portion of the rain barrel or cistern cost that is </w:t>
      </w:r>
      <w:r w:rsidR="00583CBC">
        <w:t>publicly funded (</w:t>
      </w:r>
      <w:r w:rsidR="00583CBC" w:rsidRPr="007B3819">
        <w:rPr>
          <w:iCs/>
        </w:rPr>
        <w:t>i.e.</w:t>
      </w:r>
      <w:r w:rsidR="00583CBC" w:rsidRPr="004D23B9">
        <w:rPr>
          <w:rStyle w:val="italic"/>
        </w:rPr>
        <w:t>,</w:t>
      </w:r>
      <w:r w:rsidR="00583CBC">
        <w:t xml:space="preserve"> if a public subsidy pays for 10</w:t>
      </w:r>
      <w:r w:rsidR="00CA6BF3">
        <w:t xml:space="preserve"> percent</w:t>
      </w:r>
      <w:r w:rsidR="00583CBC">
        <w:t xml:space="preserve"> of a typical installation, count </w:t>
      </w:r>
      <w:r w:rsidR="009C4534">
        <w:t xml:space="preserve">only </w:t>
      </w:r>
      <w:r w:rsidR="00583CBC">
        <w:t>10</w:t>
      </w:r>
      <w:r w:rsidR="00CA6BF3">
        <w:t xml:space="preserve"> percent</w:t>
      </w:r>
      <w:r w:rsidR="00583CBC">
        <w:t xml:space="preserve"> of that installation)</w:t>
      </w:r>
    </w:p>
    <w:p w:rsidR="0077784E" w:rsidRDefault="0077784E" w:rsidP="00501CE1">
      <w:pPr>
        <w:pStyle w:val="BodyText"/>
      </w:pPr>
      <w:r w:rsidRPr="00FA6577">
        <w:rPr>
          <w:rStyle w:val="Bold"/>
        </w:rPr>
        <w:t xml:space="preserve">Line 48– Estimated public cost of </w:t>
      </w:r>
      <w:r w:rsidR="003A7403" w:rsidRPr="00FA6577">
        <w:rPr>
          <w:rStyle w:val="Bold"/>
        </w:rPr>
        <w:t>cumulative rain barrel/cistern</w:t>
      </w:r>
      <w:r w:rsidRPr="00FA6577">
        <w:rPr>
          <w:rStyle w:val="Bold"/>
        </w:rPr>
        <w:t xml:space="preserve"> installation</w:t>
      </w:r>
      <w:r w:rsidR="003A7403" w:rsidRPr="00FA6577">
        <w:rPr>
          <w:rStyle w:val="Bold"/>
        </w:rPr>
        <w:t>s</w:t>
      </w:r>
      <w:r w:rsidRPr="00FA6577">
        <w:rPr>
          <w:rStyle w:val="Bold"/>
        </w:rPr>
        <w:t>.</w:t>
      </w:r>
      <w:r w:rsidRPr="00D807A9">
        <w:t xml:space="preserve"> </w:t>
      </w:r>
      <w:r w:rsidR="00402B3C" w:rsidRPr="00BD7C32">
        <w:t xml:space="preserve">Some of the costs of </w:t>
      </w:r>
      <w:r w:rsidR="00A90BC8">
        <w:t>rain barrel</w:t>
      </w:r>
      <w:r w:rsidR="009C4534">
        <w:t>s</w:t>
      </w:r>
      <w:r w:rsidR="00A90BC8">
        <w:t>/cistern</w:t>
      </w:r>
      <w:r w:rsidR="009C4534">
        <w:t>s</w:t>
      </w:r>
      <w:r w:rsidR="00402B3C">
        <w:t xml:space="preserve"> </w:t>
      </w:r>
      <w:r w:rsidR="00402B3C" w:rsidRPr="00BD7C32">
        <w:t xml:space="preserve">will be borne by private </w:t>
      </w:r>
      <w:r w:rsidR="00722ED6">
        <w:t>entities</w:t>
      </w:r>
      <w:r w:rsidR="00402B3C" w:rsidRPr="00BD7C32">
        <w:t xml:space="preserve"> and will not be borne by</w:t>
      </w:r>
      <w:r w:rsidR="00402B3C" w:rsidRPr="00FA6577">
        <w:rPr>
          <w:rStyle w:val="Bold"/>
        </w:rPr>
        <w:t xml:space="preserve"> </w:t>
      </w:r>
      <w:r w:rsidR="00402B3C" w:rsidRPr="00BD7C32">
        <w:t>the permittee.</w:t>
      </w:r>
      <w:r w:rsidR="00402B3C" w:rsidRPr="00FA6577">
        <w:rPr>
          <w:rStyle w:val="Bold"/>
        </w:rPr>
        <w:t xml:space="preserve"> </w:t>
      </w:r>
      <w:r w:rsidR="00402B3C">
        <w:t>To determine the cost to the permittee</w:t>
      </w:r>
      <w:r w:rsidR="00CA6BF3">
        <w:t>,</w:t>
      </w:r>
      <w:r w:rsidR="00402B3C" w:rsidRPr="00D807A9">
        <w:t xml:space="preserve"> </w:t>
      </w:r>
      <w:r w:rsidR="00402B3C">
        <w:t>m</w:t>
      </w:r>
      <w:r w:rsidRPr="00D807A9">
        <w:t xml:space="preserve">ultiply number of rain barrels/cisterns </w:t>
      </w:r>
      <w:r w:rsidR="00402B3C">
        <w:t>expected to be</w:t>
      </w:r>
      <w:r w:rsidRPr="00D807A9">
        <w:t xml:space="preserve"> installed (Line 41) by </w:t>
      </w:r>
      <w:r w:rsidR="00583CBC">
        <w:t xml:space="preserve">the average volume of each rain barrel and cistern (Line 42) by the </w:t>
      </w:r>
      <w:r w:rsidRPr="00D807A9">
        <w:t>unit cost per rain bar</w:t>
      </w:r>
      <w:r w:rsidR="00583CBC">
        <w:t>r</w:t>
      </w:r>
      <w:r w:rsidRPr="00D807A9">
        <w:t xml:space="preserve">el/cistern (Line 46) by </w:t>
      </w:r>
      <w:r w:rsidR="00583CBC">
        <w:t xml:space="preserve">the </w:t>
      </w:r>
      <w:r w:rsidRPr="00D807A9">
        <w:t>fraction of publicly owned or subsi</w:t>
      </w:r>
      <w:r w:rsidR="00583CBC">
        <w:t>di</w:t>
      </w:r>
      <w:r w:rsidRPr="00D807A9">
        <w:t>zed rain barrel/cistern installations (Line 47).</w:t>
      </w:r>
    </w:p>
    <w:p w:rsidR="0077784E" w:rsidRPr="00D807A9" w:rsidRDefault="0077784E" w:rsidP="003859D2">
      <w:pPr>
        <w:pStyle w:val="Heading2"/>
      </w:pPr>
      <w:bookmarkStart w:id="154" w:name="_Toc243725260"/>
      <w:bookmarkStart w:id="155" w:name="_Toc243809442"/>
      <w:bookmarkStart w:id="156" w:name="_Toc285015606"/>
      <w:r w:rsidRPr="00D807A9">
        <w:t xml:space="preserve">Cumulative </w:t>
      </w:r>
      <w:r w:rsidR="002B55E8">
        <w:t>Runoff</w:t>
      </w:r>
      <w:r w:rsidRPr="00D807A9">
        <w:t xml:space="preserve"> Reduction Check</w:t>
      </w:r>
      <w:bookmarkEnd w:id="154"/>
      <w:bookmarkEnd w:id="155"/>
      <w:bookmarkEnd w:id="156"/>
    </w:p>
    <w:p w:rsidR="0077784E" w:rsidRPr="00D807A9" w:rsidRDefault="0077784E" w:rsidP="00501CE1">
      <w:pPr>
        <w:pStyle w:val="BodyText"/>
      </w:pPr>
      <w:r w:rsidRPr="00D807A9">
        <w:t xml:space="preserve">This section provides a check </w:t>
      </w:r>
      <w:r w:rsidR="00402B3C">
        <w:t xml:space="preserve">to ensure </w:t>
      </w:r>
      <w:r w:rsidRPr="00D807A9">
        <w:t>that the number and combination of green infrastructure practices selected above meet the retention standard</w:t>
      </w:r>
      <w:r w:rsidR="003A7403">
        <w:t xml:space="preserve"> or goal set on Line 6</w:t>
      </w:r>
      <w:r w:rsidRPr="00D807A9">
        <w:t>.</w:t>
      </w:r>
    </w:p>
    <w:p w:rsidR="0077784E" w:rsidRPr="00D807A9" w:rsidRDefault="0077784E" w:rsidP="00501CE1">
      <w:pPr>
        <w:pStyle w:val="BodyText"/>
        <w:rPr>
          <w:szCs w:val="20"/>
        </w:rPr>
      </w:pPr>
      <w:r w:rsidRPr="00FA6577">
        <w:rPr>
          <w:rStyle w:val="Bold"/>
        </w:rPr>
        <w:t>Line 49</w:t>
      </w:r>
      <w:r w:rsidRPr="00D807A9">
        <w:rPr>
          <w:szCs w:val="20"/>
        </w:rPr>
        <w:t xml:space="preserve"> </w:t>
      </w:r>
      <w:r w:rsidRPr="00FA6577">
        <w:rPr>
          <w:rStyle w:val="Bold"/>
        </w:rPr>
        <w:t xml:space="preserve">– </w:t>
      </w:r>
      <w:r w:rsidR="002B55E8" w:rsidRPr="00FA6577">
        <w:rPr>
          <w:rStyle w:val="Bold"/>
        </w:rPr>
        <w:t>Runoff</w:t>
      </w:r>
      <w:r w:rsidRPr="00FA6577">
        <w:rPr>
          <w:rStyle w:val="Bold"/>
        </w:rPr>
        <w:t xml:space="preserve"> reduction volume (MG) derived from retention standard</w:t>
      </w:r>
      <w:r w:rsidR="0043213D" w:rsidRPr="00FA6577">
        <w:rPr>
          <w:rStyle w:val="Bold"/>
        </w:rPr>
        <w:t xml:space="preserve">. </w:t>
      </w:r>
      <w:r w:rsidRPr="00D807A9">
        <w:rPr>
          <w:szCs w:val="20"/>
        </w:rPr>
        <w:t xml:space="preserve">Enter from </w:t>
      </w:r>
      <w:r w:rsidR="00402B3C">
        <w:rPr>
          <w:szCs w:val="20"/>
        </w:rPr>
        <w:t>L</w:t>
      </w:r>
      <w:r w:rsidRPr="00D807A9">
        <w:rPr>
          <w:szCs w:val="20"/>
        </w:rPr>
        <w:t>ine 8.</w:t>
      </w:r>
    </w:p>
    <w:p w:rsidR="0077784E" w:rsidRPr="00D807A9" w:rsidRDefault="0077784E" w:rsidP="00501CE1">
      <w:pPr>
        <w:pStyle w:val="BodyText"/>
        <w:rPr>
          <w:szCs w:val="20"/>
        </w:rPr>
      </w:pPr>
      <w:r w:rsidRPr="00FA6577">
        <w:rPr>
          <w:rStyle w:val="Bold"/>
        </w:rPr>
        <w:t xml:space="preserve">Line 50– </w:t>
      </w:r>
      <w:r w:rsidR="002B55E8" w:rsidRPr="00FA6577">
        <w:rPr>
          <w:rStyle w:val="Bold"/>
        </w:rPr>
        <w:t>Runoff</w:t>
      </w:r>
      <w:r w:rsidRPr="00FA6577">
        <w:rPr>
          <w:rStyle w:val="Bold"/>
        </w:rPr>
        <w:t xml:space="preserve"> reduction volume (MG) derived from sum of individual practices.</w:t>
      </w:r>
      <w:r w:rsidRPr="00D807A9">
        <w:rPr>
          <w:szCs w:val="20"/>
        </w:rPr>
        <w:t xml:space="preserve"> Add Lines 14, 22,</w:t>
      </w:r>
      <w:r w:rsidR="003A7403">
        <w:rPr>
          <w:szCs w:val="20"/>
        </w:rPr>
        <w:t xml:space="preserve"> </w:t>
      </w:r>
      <w:r w:rsidRPr="00D807A9">
        <w:rPr>
          <w:szCs w:val="20"/>
        </w:rPr>
        <w:t>30,</w:t>
      </w:r>
      <w:r w:rsidR="003A7403">
        <w:rPr>
          <w:szCs w:val="20"/>
        </w:rPr>
        <w:t xml:space="preserve"> </w:t>
      </w:r>
      <w:r w:rsidRPr="00D807A9">
        <w:rPr>
          <w:szCs w:val="20"/>
        </w:rPr>
        <w:t>37, and 45.</w:t>
      </w:r>
    </w:p>
    <w:p w:rsidR="0062037C" w:rsidRDefault="0077784E" w:rsidP="00501CE1">
      <w:pPr>
        <w:pStyle w:val="BodyText"/>
      </w:pPr>
      <w:r w:rsidRPr="00FA6577">
        <w:rPr>
          <w:rStyle w:val="Bold"/>
        </w:rPr>
        <w:t xml:space="preserve">Line 51 – </w:t>
      </w:r>
      <w:r w:rsidR="003A7403" w:rsidRPr="00FA6577">
        <w:rPr>
          <w:rStyle w:val="Bold"/>
        </w:rPr>
        <w:t xml:space="preserve">Planning </w:t>
      </w:r>
      <w:r w:rsidRPr="00FA6577">
        <w:rPr>
          <w:rStyle w:val="Bold"/>
        </w:rPr>
        <w:t>Check.</w:t>
      </w:r>
      <w:r w:rsidRPr="00D807A9">
        <w:t xml:space="preserve"> </w:t>
      </w:r>
      <w:r w:rsidR="007F7E1A">
        <w:t xml:space="preserve">This calculation is meant to serve as a check for the permittee </w:t>
      </w:r>
      <w:r w:rsidR="00A90BC8">
        <w:t xml:space="preserve">to </w:t>
      </w:r>
      <w:r w:rsidR="003875B6">
        <w:t>show how</w:t>
      </w:r>
      <w:r w:rsidR="007F7E1A">
        <w:t xml:space="preserve"> realistic it </w:t>
      </w:r>
      <w:r w:rsidR="00402B3C">
        <w:t>will</w:t>
      </w:r>
      <w:r w:rsidR="007F7E1A">
        <w:t xml:space="preserve"> be to achieve the </w:t>
      </w:r>
      <w:r w:rsidR="00722ED6">
        <w:t xml:space="preserve">runoff </w:t>
      </w:r>
      <w:r w:rsidR="007F7E1A">
        <w:t>retention standard or goal using green infrastructure</w:t>
      </w:r>
      <w:r w:rsidR="0062037C">
        <w:t>.</w:t>
      </w:r>
    </w:p>
    <w:p w:rsidR="003A7403" w:rsidRDefault="0077784E" w:rsidP="00501CE1">
      <w:pPr>
        <w:pStyle w:val="BodyText"/>
      </w:pPr>
      <w:r w:rsidRPr="00D807A9">
        <w:t xml:space="preserve">Divide </w:t>
      </w:r>
      <w:r w:rsidR="002B55E8">
        <w:t>runoff</w:t>
      </w:r>
      <w:r w:rsidRPr="00D807A9">
        <w:t xml:space="preserve"> reduction volume (MG) derived from sum of individual practices (Line 50) by </w:t>
      </w:r>
      <w:r w:rsidR="002B55E8">
        <w:t>runoff</w:t>
      </w:r>
      <w:r w:rsidRPr="00D807A9">
        <w:t xml:space="preserve"> reduction volume (MG) derived from retention standard (Line 49). If this value is </w:t>
      </w:r>
      <w:r w:rsidR="003A7403">
        <w:t xml:space="preserve">greater </w:t>
      </w:r>
      <w:r w:rsidR="003A7403">
        <w:lastRenderedPageBreak/>
        <w:t xml:space="preserve">than or equal to </w:t>
      </w:r>
      <w:r w:rsidRPr="00D807A9">
        <w:t xml:space="preserve">1.00 </w:t>
      </w:r>
      <w:r w:rsidR="003A7403">
        <w:t>and</w:t>
      </w:r>
      <w:r w:rsidRPr="00D807A9">
        <w:t xml:space="preserve"> </w:t>
      </w:r>
      <w:r w:rsidR="003A7403">
        <w:t xml:space="preserve">less than </w:t>
      </w:r>
      <w:r w:rsidRPr="00D807A9">
        <w:t>1.0</w:t>
      </w:r>
      <w:r w:rsidR="003A7403">
        <w:t xml:space="preserve">5, </w:t>
      </w:r>
      <w:r w:rsidRPr="00D807A9">
        <w:t>the number and combination of selected green infrastructure practices are suffi</w:t>
      </w:r>
      <w:r w:rsidR="003A7403">
        <w:t>cient</w:t>
      </w:r>
      <w:r w:rsidRPr="00D807A9">
        <w:t xml:space="preserve"> to meet the </w:t>
      </w:r>
      <w:r w:rsidR="00722ED6">
        <w:t>runoff</w:t>
      </w:r>
      <w:r w:rsidR="003A7403">
        <w:t xml:space="preserve"> </w:t>
      </w:r>
      <w:r w:rsidRPr="00D807A9">
        <w:t>retention standard</w:t>
      </w:r>
      <w:r w:rsidR="003A7403">
        <w:t xml:space="preserve"> or goal</w:t>
      </w:r>
      <w:r w:rsidRPr="00D807A9">
        <w:t>.</w:t>
      </w:r>
    </w:p>
    <w:p w:rsidR="003A7403" w:rsidRDefault="003A7403" w:rsidP="00501CE1">
      <w:pPr>
        <w:pStyle w:val="BodyText"/>
      </w:pPr>
      <w:r>
        <w:t xml:space="preserve">If this value is less than 1.00, either the </w:t>
      </w:r>
      <w:r w:rsidR="00722ED6">
        <w:t>runoff</w:t>
      </w:r>
      <w:r w:rsidR="00402B3C">
        <w:t xml:space="preserve"> </w:t>
      </w:r>
      <w:r>
        <w:t>retention standard</w:t>
      </w:r>
      <w:r w:rsidR="00722ED6">
        <w:t xml:space="preserve"> or goal</w:t>
      </w:r>
      <w:r>
        <w:t xml:space="preserve"> is set too high or </w:t>
      </w:r>
      <w:r w:rsidR="0055701E">
        <w:t>the number and combination of selected green infrastructure prac</w:t>
      </w:r>
      <w:r w:rsidR="007F7E1A">
        <w:t>tices is too low</w:t>
      </w:r>
      <w:r w:rsidR="0043213D">
        <w:t xml:space="preserve">. </w:t>
      </w:r>
      <w:r w:rsidR="007F7E1A">
        <w:t xml:space="preserve">If the value is greater than 1.05, either the </w:t>
      </w:r>
      <w:r w:rsidR="00722ED6">
        <w:t>runoff</w:t>
      </w:r>
      <w:r w:rsidR="00402B3C">
        <w:t xml:space="preserve"> </w:t>
      </w:r>
      <w:r w:rsidR="007F7E1A">
        <w:t>retention standard is set too low or the number and combination of selected green infrastructure practices is too high</w:t>
      </w:r>
      <w:r w:rsidR="0043213D">
        <w:t xml:space="preserve">. </w:t>
      </w:r>
      <w:r w:rsidR="007F7E1A">
        <w:t xml:space="preserve">Adjust the values associated with the </w:t>
      </w:r>
      <w:r w:rsidR="00671B23">
        <w:t xml:space="preserve">runoff </w:t>
      </w:r>
      <w:r w:rsidR="007F7E1A">
        <w:t xml:space="preserve">retention standard </w:t>
      </w:r>
      <w:r w:rsidR="00671B23">
        <w:t xml:space="preserve">or goal </w:t>
      </w:r>
      <w:r w:rsidR="007F7E1A">
        <w:t>or the green infrastructure practices until the value falls into the acceptable range</w:t>
      </w:r>
      <w:r w:rsidR="00A90BC8">
        <w:t xml:space="preserve"> if this is possible</w:t>
      </w:r>
      <w:r w:rsidR="007F7E1A">
        <w:t>.</w:t>
      </w:r>
    </w:p>
    <w:p w:rsidR="003F54EE" w:rsidRDefault="003F54EE" w:rsidP="003859D2">
      <w:pPr>
        <w:pStyle w:val="Heading2"/>
      </w:pPr>
      <w:bookmarkStart w:id="157" w:name="_Toc243725261"/>
      <w:bookmarkStart w:id="158" w:name="_Toc243809443"/>
      <w:bookmarkStart w:id="159" w:name="_Toc285015607"/>
      <w:r>
        <w:t>Runoff</w:t>
      </w:r>
      <w:r w:rsidR="004D6D73">
        <w:t xml:space="preserve"> Recalculation</w:t>
      </w:r>
      <w:bookmarkEnd w:id="157"/>
      <w:bookmarkEnd w:id="158"/>
      <w:bookmarkEnd w:id="159"/>
    </w:p>
    <w:p w:rsidR="0062037C" w:rsidRDefault="009C4534" w:rsidP="00501CE1">
      <w:pPr>
        <w:pStyle w:val="BodyText"/>
      </w:pPr>
      <w:r>
        <w:t xml:space="preserve">Because </w:t>
      </w:r>
      <w:r w:rsidR="004D6D73">
        <w:t xml:space="preserve">the </w:t>
      </w:r>
      <w:r w:rsidR="004D6D73" w:rsidRPr="004D6D73">
        <w:t xml:space="preserve">green </w:t>
      </w:r>
      <w:r w:rsidR="004D6D73">
        <w:t xml:space="preserve">infrastructure </w:t>
      </w:r>
      <w:r w:rsidR="004D6D73" w:rsidRPr="004D6D73">
        <w:t>practices</w:t>
      </w:r>
      <w:r w:rsidR="004D6D73">
        <w:t xml:space="preserve"> evaluated in the previous sections of this schedule </w:t>
      </w:r>
      <w:r w:rsidR="00402B3C">
        <w:t>reduce runoff before it gets to the collection system</w:t>
      </w:r>
      <w:r w:rsidR="004D6D73">
        <w:t>, the volume of runoff calculated in Schedule 4-CSO VOLUME will need to be recalculated</w:t>
      </w:r>
      <w:r w:rsidR="0062037C">
        <w:t>.</w:t>
      </w:r>
    </w:p>
    <w:p w:rsidR="003F54EE" w:rsidRDefault="004D6D73" w:rsidP="00501CE1">
      <w:pPr>
        <w:pStyle w:val="BodyText"/>
        <w:rPr>
          <w:bCs/>
        </w:rPr>
      </w:pPr>
      <w:r w:rsidRPr="00FA6577">
        <w:rPr>
          <w:rStyle w:val="Bold"/>
        </w:rPr>
        <w:t>Li</w:t>
      </w:r>
      <w:r w:rsidR="003F54EE" w:rsidRPr="00FA6577">
        <w:rPr>
          <w:rStyle w:val="Bold"/>
        </w:rPr>
        <w:t>ne 5</w:t>
      </w:r>
      <w:r w:rsidRPr="00FA6577">
        <w:rPr>
          <w:rStyle w:val="Bold"/>
        </w:rPr>
        <w:t>2</w:t>
      </w:r>
      <w:r w:rsidR="003F54EE" w:rsidRPr="00FA6577">
        <w:rPr>
          <w:rStyle w:val="Bold"/>
        </w:rPr>
        <w:t xml:space="preserve"> – </w:t>
      </w:r>
      <w:r w:rsidRPr="00FA6577">
        <w:rPr>
          <w:rStyle w:val="Bold"/>
        </w:rPr>
        <w:t>Original volume of runoff (MG)</w:t>
      </w:r>
      <w:r w:rsidR="003F54EE" w:rsidRPr="00FA6577">
        <w:rPr>
          <w:rStyle w:val="Bold"/>
        </w:rPr>
        <w:t>.</w:t>
      </w:r>
      <w:r w:rsidR="003F54EE">
        <w:rPr>
          <w:bCs/>
        </w:rPr>
        <w:t xml:space="preserve"> </w:t>
      </w:r>
      <w:r>
        <w:t>Enter the original volume of runoff calculated in Schedule 4-CSO VOLUME for each sub-sewershed in the CSS (Line 13 on Schedule 4-CSO VOLUME. If you are using the electronic version of the form, this value will have been filled in automatically).</w:t>
      </w:r>
    </w:p>
    <w:p w:rsidR="003F54EE" w:rsidRDefault="003F54EE" w:rsidP="00501CE1">
      <w:pPr>
        <w:pStyle w:val="BodyText"/>
      </w:pPr>
      <w:r w:rsidRPr="00FA6577">
        <w:rPr>
          <w:rStyle w:val="Bold"/>
        </w:rPr>
        <w:t xml:space="preserve">Line </w:t>
      </w:r>
      <w:r w:rsidR="004D6D73" w:rsidRPr="00FA6577">
        <w:rPr>
          <w:rStyle w:val="Bold"/>
        </w:rPr>
        <w:t>53</w:t>
      </w:r>
      <w:r w:rsidRPr="00FA6577">
        <w:rPr>
          <w:rStyle w:val="Bold"/>
        </w:rPr>
        <w:t xml:space="preserve"> – </w:t>
      </w:r>
      <w:r w:rsidR="004D6D73" w:rsidRPr="00FA6577">
        <w:rPr>
          <w:rStyle w:val="Bold"/>
        </w:rPr>
        <w:t>Runoff reduction volume (MG)</w:t>
      </w:r>
      <w:r w:rsidRPr="00FA6577">
        <w:rPr>
          <w:rStyle w:val="Bold"/>
        </w:rPr>
        <w:t>.</w:t>
      </w:r>
      <w:r>
        <w:t xml:space="preserve"> </w:t>
      </w:r>
      <w:r w:rsidR="004D6D73">
        <w:t xml:space="preserve">Enter the runoff reduction volume in MG calculated using the retention standard or goal </w:t>
      </w:r>
      <w:r w:rsidR="001A3138">
        <w:t xml:space="preserve">for each sub-sewershed </w:t>
      </w:r>
      <w:r w:rsidR="004D6D73">
        <w:t>(Line 8)</w:t>
      </w:r>
      <w:r>
        <w:t>.</w:t>
      </w:r>
      <w:r w:rsidR="001A3138" w:rsidRPr="001A3138">
        <w:t xml:space="preserve"> </w:t>
      </w:r>
      <w:r w:rsidR="001A3138">
        <w:t>If you are using the electronic version of the form, this value will have been filled in automatically).</w:t>
      </w:r>
    </w:p>
    <w:p w:rsidR="004D6D73" w:rsidRDefault="004D6D73" w:rsidP="00501CE1">
      <w:pPr>
        <w:pStyle w:val="BodyText"/>
      </w:pPr>
      <w:r w:rsidRPr="00FA6577">
        <w:rPr>
          <w:rStyle w:val="Bold"/>
        </w:rPr>
        <w:t>Line 54 – Revised volume of runoff (MG).</w:t>
      </w:r>
      <w:r>
        <w:t xml:space="preserve"> </w:t>
      </w:r>
      <w:r w:rsidR="001A3138">
        <w:t>Subtract the runoff reduction volume (MG) on Line 53 from the original volume of runoff (MG) on Line 52 to obtain the revised runoff volume.</w:t>
      </w:r>
    </w:p>
    <w:p w:rsidR="0062037C" w:rsidRDefault="004D6D73" w:rsidP="00501CE1">
      <w:pPr>
        <w:pStyle w:val="BodyText"/>
      </w:pPr>
      <w:r w:rsidRPr="00FA6577">
        <w:rPr>
          <w:rStyle w:val="Bold"/>
        </w:rPr>
        <w:t xml:space="preserve">Line </w:t>
      </w:r>
      <w:r w:rsidR="001A3138" w:rsidRPr="00FA6577">
        <w:rPr>
          <w:rStyle w:val="Bold"/>
        </w:rPr>
        <w:t>55</w:t>
      </w:r>
      <w:r w:rsidRPr="00FA6577">
        <w:rPr>
          <w:rStyle w:val="Bold"/>
        </w:rPr>
        <w:t xml:space="preserve"> – Runoff reduction </w:t>
      </w:r>
      <w:r w:rsidR="001A3138" w:rsidRPr="00FA6577">
        <w:rPr>
          <w:rStyle w:val="Bold"/>
        </w:rPr>
        <w:t>factor</w:t>
      </w:r>
      <w:r w:rsidRPr="00FA6577">
        <w:rPr>
          <w:rStyle w:val="Bold"/>
        </w:rPr>
        <w:t>.</w:t>
      </w:r>
      <w:r w:rsidRPr="001A3138">
        <w:t xml:space="preserve"> </w:t>
      </w:r>
      <w:r w:rsidR="00F30EB6">
        <w:t xml:space="preserve">Divide </w:t>
      </w:r>
      <w:r w:rsidRPr="001A3138">
        <w:t xml:space="preserve">the </w:t>
      </w:r>
      <w:r w:rsidR="00F30EB6">
        <w:t>revised runoff volume on Line 54 by the original runoff volume on Line 52 to obtain the runoff reduction factor</w:t>
      </w:r>
      <w:r w:rsidR="0062037C">
        <w:t>.</w:t>
      </w:r>
    </w:p>
    <w:p w:rsidR="0062037C" w:rsidRDefault="003F54EE" w:rsidP="003859D2">
      <w:pPr>
        <w:pStyle w:val="Heading2"/>
      </w:pPr>
      <w:bookmarkStart w:id="160" w:name="_Toc243725262"/>
      <w:bookmarkStart w:id="161" w:name="_Toc243809444"/>
      <w:bookmarkStart w:id="162" w:name="_Toc285015608"/>
      <w:r>
        <w:t>Peak Wet</w:t>
      </w:r>
      <w:r w:rsidR="00CA6BF3">
        <w:t>-</w:t>
      </w:r>
      <w:r>
        <w:t>Weather Flow</w:t>
      </w:r>
      <w:bookmarkEnd w:id="160"/>
      <w:bookmarkEnd w:id="161"/>
      <w:bookmarkEnd w:id="162"/>
    </w:p>
    <w:p w:rsidR="001A3138" w:rsidRPr="00010C77" w:rsidRDefault="001A3138" w:rsidP="00501CE1">
      <w:pPr>
        <w:pStyle w:val="BodyText"/>
      </w:pPr>
      <w:r>
        <w:t>The relationship between the original runoff volume and the revised runoff volume (the runoff reduction factor) is used to modify the peak wet</w:t>
      </w:r>
      <w:r w:rsidR="00AB5C8C">
        <w:t>-</w:t>
      </w:r>
      <w:r>
        <w:t xml:space="preserve">weather flow rates </w:t>
      </w:r>
      <w:r w:rsidR="00F30EB6" w:rsidRPr="00010C77">
        <w:t xml:space="preserve">that influence the </w:t>
      </w:r>
      <w:r w:rsidR="00010C77" w:rsidRPr="00010C77">
        <w:t xml:space="preserve">overflow fraction and diversion fraction </w:t>
      </w:r>
      <w:r w:rsidR="00CA465D">
        <w:t xml:space="preserve">that was calculated in </w:t>
      </w:r>
      <w:r w:rsidR="00010C77" w:rsidRPr="00010C77">
        <w:t>Schedule 4-CSO VOLUME.</w:t>
      </w:r>
    </w:p>
    <w:p w:rsidR="00010C77" w:rsidRDefault="003F54EE" w:rsidP="00501CE1">
      <w:pPr>
        <w:pStyle w:val="BodyText"/>
        <w:rPr>
          <w:bCs/>
        </w:rPr>
      </w:pPr>
      <w:r w:rsidRPr="00FA6577">
        <w:rPr>
          <w:rStyle w:val="Bold"/>
        </w:rPr>
        <w:t xml:space="preserve">Line </w:t>
      </w:r>
      <w:r w:rsidR="00010C77" w:rsidRPr="00FA6577">
        <w:rPr>
          <w:rStyle w:val="Bold"/>
        </w:rPr>
        <w:t>56</w:t>
      </w:r>
      <w:r w:rsidRPr="00FA6577">
        <w:rPr>
          <w:rStyle w:val="Bold"/>
        </w:rPr>
        <w:t xml:space="preserve"> – </w:t>
      </w:r>
      <w:r w:rsidR="00010C77" w:rsidRPr="00FA6577">
        <w:rPr>
          <w:rStyle w:val="Bold"/>
        </w:rPr>
        <w:t>Original p</w:t>
      </w:r>
      <w:r w:rsidRPr="00FA6577">
        <w:rPr>
          <w:rStyle w:val="Bold"/>
        </w:rPr>
        <w:t xml:space="preserve">eak </w:t>
      </w:r>
      <w:r w:rsidR="00254FCC" w:rsidRPr="00FA6577">
        <w:rPr>
          <w:rStyle w:val="Bold"/>
        </w:rPr>
        <w:t>runoff</w:t>
      </w:r>
      <w:r w:rsidRPr="00FA6577">
        <w:rPr>
          <w:rStyle w:val="Bold"/>
        </w:rPr>
        <w:t xml:space="preserve"> rate (MGD).</w:t>
      </w:r>
      <w:r w:rsidRPr="00010C77">
        <w:t xml:space="preserve"> </w:t>
      </w:r>
      <w:r w:rsidR="00010C77" w:rsidRPr="00010C77">
        <w:t>Enter the ori</w:t>
      </w:r>
      <w:r w:rsidR="00010C77" w:rsidRPr="00501CE1">
        <w:t>g</w:t>
      </w:r>
      <w:r w:rsidR="00010C77" w:rsidRPr="00010C77">
        <w:t xml:space="preserve">inal </w:t>
      </w:r>
      <w:r w:rsidR="00010C77">
        <w:t xml:space="preserve">peak </w:t>
      </w:r>
      <w:r w:rsidR="00254FCC">
        <w:t>runoff</w:t>
      </w:r>
      <w:r w:rsidR="00010C77">
        <w:t xml:space="preserve"> rate (MGD)</w:t>
      </w:r>
      <w:r w:rsidR="00010C77" w:rsidRPr="00010C77">
        <w:t xml:space="preserve"> calculated in Schedule 4-CSO VOLUME for each sub-sewershed in the CSS (Line </w:t>
      </w:r>
      <w:r w:rsidR="00010C77">
        <w:t>6</w:t>
      </w:r>
      <w:r w:rsidR="00010C77" w:rsidRPr="00010C77">
        <w:t xml:space="preserve"> on Schedule 4-CSO</w:t>
      </w:r>
      <w:r w:rsidR="00010C77">
        <w:t xml:space="preserve"> VOLUME. If you are using the electronic version of the form, this value will have been filled in automatically).</w:t>
      </w:r>
    </w:p>
    <w:p w:rsidR="00010C77" w:rsidRDefault="00010C77" w:rsidP="00501CE1">
      <w:pPr>
        <w:pStyle w:val="BodyText"/>
        <w:rPr>
          <w:bCs/>
        </w:rPr>
      </w:pPr>
      <w:r w:rsidRPr="00FA6577">
        <w:rPr>
          <w:rStyle w:val="Bold"/>
        </w:rPr>
        <w:t xml:space="preserve">Line 57 – </w:t>
      </w:r>
      <w:r w:rsidR="00254FCC" w:rsidRPr="00FA6577">
        <w:rPr>
          <w:rStyle w:val="Bold"/>
        </w:rPr>
        <w:t>Revised p</w:t>
      </w:r>
      <w:r w:rsidRPr="00FA6577">
        <w:rPr>
          <w:rStyle w:val="Bold"/>
        </w:rPr>
        <w:t xml:space="preserve">eak </w:t>
      </w:r>
      <w:r w:rsidR="00254FCC" w:rsidRPr="00FA6577">
        <w:rPr>
          <w:rStyle w:val="Bold"/>
        </w:rPr>
        <w:t>runoff</w:t>
      </w:r>
      <w:r w:rsidRPr="00FA6577">
        <w:rPr>
          <w:rStyle w:val="Bold"/>
        </w:rPr>
        <w:t xml:space="preserve"> rate (MGD).</w:t>
      </w:r>
      <w:r w:rsidRPr="00010C77">
        <w:t xml:space="preserve"> </w:t>
      </w:r>
      <w:r w:rsidR="00254FCC">
        <w:t>Multiply the original peak runoff rate (MGD) on Line 56 by the runoff reduction factor on Line 55 to obtain a revised peak runoff rate for each sub-sewershed.</w:t>
      </w:r>
    </w:p>
    <w:p w:rsidR="00010C77" w:rsidRDefault="00010C77" w:rsidP="00501CE1">
      <w:pPr>
        <w:pStyle w:val="BodyText"/>
        <w:rPr>
          <w:bCs/>
        </w:rPr>
      </w:pPr>
      <w:r w:rsidRPr="00FA6577">
        <w:rPr>
          <w:rStyle w:val="Bold"/>
        </w:rPr>
        <w:t xml:space="preserve">Line 58 – </w:t>
      </w:r>
      <w:r w:rsidR="007C1E0F" w:rsidRPr="00FA6577">
        <w:rPr>
          <w:rStyle w:val="Bold"/>
        </w:rPr>
        <w:t>Dry-weather flow</w:t>
      </w:r>
      <w:r w:rsidRPr="00FA6577">
        <w:rPr>
          <w:rStyle w:val="Bold"/>
        </w:rPr>
        <w:t xml:space="preserve"> rate (MGD).</w:t>
      </w:r>
      <w:r w:rsidRPr="00010C77">
        <w:t xml:space="preserve"> Enter the </w:t>
      </w:r>
      <w:r w:rsidR="007C1E0F">
        <w:t>dry-weather flow</w:t>
      </w:r>
      <w:r>
        <w:t xml:space="preserve"> rate (MGD)</w:t>
      </w:r>
      <w:r w:rsidRPr="00010C77">
        <w:t xml:space="preserve"> </w:t>
      </w:r>
      <w:r w:rsidR="00946937">
        <w:t>from</w:t>
      </w:r>
      <w:r w:rsidRPr="00010C77">
        <w:t xml:space="preserve"> Schedule 4-CSO VOLUME for each sub-sewershed in the CSS (Line </w:t>
      </w:r>
      <w:r w:rsidR="00946937">
        <w:t>7</w:t>
      </w:r>
      <w:r w:rsidRPr="00010C77">
        <w:t xml:space="preserve"> on Schedule 4-CSO</w:t>
      </w:r>
      <w:r>
        <w:t xml:space="preserve"> VOLUME. If you are using the electronic version of the form, this value will have been filled in automatically).</w:t>
      </w:r>
    </w:p>
    <w:p w:rsidR="00010C77" w:rsidRDefault="00010C77" w:rsidP="00501CE1">
      <w:pPr>
        <w:pStyle w:val="BodyText"/>
        <w:rPr>
          <w:bCs/>
        </w:rPr>
      </w:pPr>
      <w:r w:rsidRPr="00FA6577">
        <w:rPr>
          <w:rStyle w:val="Bold"/>
        </w:rPr>
        <w:t xml:space="preserve">Line 59 – </w:t>
      </w:r>
      <w:r w:rsidR="00946937" w:rsidRPr="00FA6577">
        <w:rPr>
          <w:rStyle w:val="Bold"/>
        </w:rPr>
        <w:t>Revised p</w:t>
      </w:r>
      <w:r w:rsidRPr="00FA6577">
        <w:rPr>
          <w:rStyle w:val="Bold"/>
        </w:rPr>
        <w:t>eak flow rate (MGD).</w:t>
      </w:r>
      <w:r w:rsidRPr="00010C77">
        <w:t xml:space="preserve"> </w:t>
      </w:r>
      <w:r w:rsidR="00946937">
        <w:t xml:space="preserve">The peak flow rate </w:t>
      </w:r>
      <w:r w:rsidR="00946937">
        <w:t xml:space="preserve">is the sum of the peak runoff rate and </w:t>
      </w:r>
      <w:r w:rsidR="007C1E0F">
        <w:t>dry-weather flow</w:t>
      </w:r>
      <w:r w:rsidR="00946937">
        <w:t xml:space="preserve"> in MGD</w:t>
      </w:r>
      <w:r w:rsidR="0043213D">
        <w:t xml:space="preserve">. </w:t>
      </w:r>
      <w:r w:rsidR="00946937">
        <w:t>Add Lines 57 and 58 and enter the sum for each sub-sewershed area on Line 59.</w:t>
      </w:r>
    </w:p>
    <w:p w:rsidR="003F54EE" w:rsidRDefault="00946937" w:rsidP="003859D2">
      <w:pPr>
        <w:pStyle w:val="Heading2"/>
      </w:pPr>
      <w:bookmarkStart w:id="163" w:name="_Toc243725263"/>
      <w:bookmarkStart w:id="164" w:name="_Toc243809445"/>
      <w:bookmarkStart w:id="165" w:name="_Toc285015609"/>
      <w:r>
        <w:t xml:space="preserve">Revised </w:t>
      </w:r>
      <w:r w:rsidR="003F54EE">
        <w:t>Overflow</w:t>
      </w:r>
      <w:bookmarkEnd w:id="163"/>
      <w:bookmarkEnd w:id="164"/>
      <w:bookmarkEnd w:id="165"/>
    </w:p>
    <w:p w:rsidR="0062037C" w:rsidRDefault="003F54EE" w:rsidP="00501CE1">
      <w:pPr>
        <w:pStyle w:val="BodyText"/>
        <w:rPr>
          <w:bCs/>
        </w:rPr>
      </w:pPr>
      <w:r w:rsidRPr="00FA6577">
        <w:rPr>
          <w:rStyle w:val="Bold"/>
        </w:rPr>
        <w:t xml:space="preserve">Line </w:t>
      </w:r>
      <w:r w:rsidR="00946937" w:rsidRPr="00FA6577">
        <w:rPr>
          <w:rStyle w:val="Bold"/>
        </w:rPr>
        <w:t>60</w:t>
      </w:r>
      <w:r w:rsidRPr="00FA6577">
        <w:rPr>
          <w:rStyle w:val="Bold"/>
        </w:rPr>
        <w:t xml:space="preserve"> – CSO hydraulic control capacity (MGD). </w:t>
      </w:r>
      <w:r>
        <w:rPr>
          <w:bCs/>
        </w:rPr>
        <w:t xml:space="preserve">Enter the CSO hydraulic control capacity in MGD for each CSO sub-sewershed area on Line </w:t>
      </w:r>
      <w:r w:rsidR="00946937">
        <w:rPr>
          <w:bCs/>
        </w:rPr>
        <w:t>60</w:t>
      </w:r>
      <w:r>
        <w:rPr>
          <w:bCs/>
        </w:rPr>
        <w:t xml:space="preserve"> </w:t>
      </w:r>
      <w:r>
        <w:t>(Line 11b on FORM LTCP-EZ. If you are using the electronic version of the form, this value will have been filled in automatically)</w:t>
      </w:r>
      <w:r w:rsidR="0062037C">
        <w:rPr>
          <w:bCs/>
        </w:rPr>
        <w:t>.</w:t>
      </w:r>
    </w:p>
    <w:p w:rsidR="0062037C" w:rsidRDefault="003F54EE" w:rsidP="00501CE1">
      <w:pPr>
        <w:pStyle w:val="BodyText"/>
      </w:pPr>
      <w:r w:rsidRPr="00FA6577">
        <w:rPr>
          <w:rStyle w:val="Bold"/>
        </w:rPr>
        <w:t xml:space="preserve">Line </w:t>
      </w:r>
      <w:r w:rsidR="00946937" w:rsidRPr="00FA6577">
        <w:rPr>
          <w:rStyle w:val="Bold"/>
        </w:rPr>
        <w:t>61</w:t>
      </w:r>
      <w:r w:rsidRPr="00FA6577">
        <w:rPr>
          <w:rStyle w:val="Bold"/>
        </w:rPr>
        <w:t xml:space="preserve"> – </w:t>
      </w:r>
      <w:r w:rsidR="00946937" w:rsidRPr="00FA6577">
        <w:rPr>
          <w:rStyle w:val="Bold"/>
        </w:rPr>
        <w:t>Revised r</w:t>
      </w:r>
      <w:r w:rsidRPr="00FA6577">
        <w:rPr>
          <w:rStyle w:val="Bold"/>
        </w:rPr>
        <w:t xml:space="preserve">atio of CSO hydraulic control capacity to peak flow rate. </w:t>
      </w:r>
      <w:r>
        <w:t xml:space="preserve">Enter 1.0 on Line </w:t>
      </w:r>
      <w:r w:rsidR="002D32F7">
        <w:t>61</w:t>
      </w:r>
      <w:r>
        <w:t xml:space="preserve"> if Line </w:t>
      </w:r>
      <w:r w:rsidR="002D32F7">
        <w:t>60</w:t>
      </w:r>
      <w:r>
        <w:t xml:space="preserve"> is greater than Line </w:t>
      </w:r>
      <w:r w:rsidR="002D32F7">
        <w:t>59</w:t>
      </w:r>
      <w:r>
        <w:t xml:space="preserve">. Otherwise, divide Line </w:t>
      </w:r>
      <w:r w:rsidR="002D32F7">
        <w:t>60</w:t>
      </w:r>
      <w:r>
        <w:t xml:space="preserve"> by Line </w:t>
      </w:r>
      <w:r w:rsidR="002D32F7">
        <w:t>59</w:t>
      </w:r>
      <w:r>
        <w:t xml:space="preserve"> and enter the quotient (result) on Line </w:t>
      </w:r>
      <w:r w:rsidR="002D32F7">
        <w:t>61</w:t>
      </w:r>
      <w:r w:rsidR="0062037C">
        <w:t>.</w:t>
      </w:r>
    </w:p>
    <w:p w:rsidR="0062037C" w:rsidRDefault="003F54EE" w:rsidP="00501CE1">
      <w:pPr>
        <w:pStyle w:val="BodyText"/>
      </w:pPr>
      <w:r w:rsidRPr="00FA6577">
        <w:rPr>
          <w:rStyle w:val="Bold"/>
        </w:rPr>
        <w:t xml:space="preserve">Line </w:t>
      </w:r>
      <w:r w:rsidR="002D32F7" w:rsidRPr="00FA6577">
        <w:rPr>
          <w:rStyle w:val="Bold"/>
        </w:rPr>
        <w:t>62</w:t>
      </w:r>
      <w:r w:rsidRPr="00FA6577">
        <w:rPr>
          <w:rStyle w:val="Bold"/>
        </w:rPr>
        <w:t xml:space="preserve"> – </w:t>
      </w:r>
      <w:r w:rsidR="002D32F7" w:rsidRPr="00FA6577">
        <w:rPr>
          <w:rStyle w:val="Bold"/>
        </w:rPr>
        <w:t>Revised o</w:t>
      </w:r>
      <w:r w:rsidRPr="00FA6577">
        <w:rPr>
          <w:rStyle w:val="Bold"/>
        </w:rPr>
        <w:t xml:space="preserve">verflow fraction of combined sewage. </w:t>
      </w:r>
      <w:r>
        <w:t xml:space="preserve">This is </w:t>
      </w:r>
      <w:r w:rsidR="002D32F7">
        <w:t>a recalculation of the</w:t>
      </w:r>
      <w:r>
        <w:t xml:space="preserve"> overflow fraction of combined sewage within the sub-sewershed. It is based on the ratio of CSO hydraulic control capacity to peak flow rate. Take the square of (1 minus the value on Line </w:t>
      </w:r>
      <w:r w:rsidR="002D32F7">
        <w:t>61</w:t>
      </w:r>
      <w:r>
        <w:t xml:space="preserve">) and enter it on Line </w:t>
      </w:r>
      <w:r w:rsidR="002D32F7">
        <w:t>62</w:t>
      </w:r>
      <w:r>
        <w:t>. For example, if the ratio of CSO hydraulic control capacity to peak flow rate on Line 10 is 0.15, the overflow fraction is (1</w:t>
      </w:r>
      <w:r w:rsidR="00AB5C8C">
        <w:t xml:space="preserve"> – </w:t>
      </w:r>
      <w:r>
        <w:t>0.15)</w:t>
      </w:r>
      <w:r>
        <w:rPr>
          <w:vertAlign w:val="superscript"/>
        </w:rPr>
        <w:t>2</w:t>
      </w:r>
      <w:r>
        <w:t>, or 0.7225</w:t>
      </w:r>
      <w:r w:rsidR="0062037C">
        <w:t>.</w:t>
      </w:r>
    </w:p>
    <w:p w:rsidR="003F54EE" w:rsidRDefault="003F54EE" w:rsidP="00501CE1">
      <w:pPr>
        <w:pStyle w:val="BodyText"/>
      </w:pPr>
      <w:r w:rsidRPr="00FA6577">
        <w:rPr>
          <w:rStyle w:val="Bold"/>
        </w:rPr>
        <w:t xml:space="preserve">Line </w:t>
      </w:r>
      <w:r w:rsidR="002D32F7" w:rsidRPr="00FA6577">
        <w:rPr>
          <w:rStyle w:val="Bold"/>
        </w:rPr>
        <w:t>63</w:t>
      </w:r>
      <w:r w:rsidRPr="00FA6577">
        <w:rPr>
          <w:rStyle w:val="Bold"/>
        </w:rPr>
        <w:t xml:space="preserve"> – Volume of </w:t>
      </w:r>
      <w:r w:rsidR="007C1E0F" w:rsidRPr="00FA6577">
        <w:rPr>
          <w:rStyle w:val="Bold"/>
        </w:rPr>
        <w:t>dry-weather flow</w:t>
      </w:r>
      <w:r w:rsidRPr="00FA6577">
        <w:rPr>
          <w:rStyle w:val="Bold"/>
        </w:rPr>
        <w:t xml:space="preserve"> (MG)</w:t>
      </w:r>
      <w:r>
        <w:t xml:space="preserve">. This is the total </w:t>
      </w:r>
      <w:r w:rsidR="007C1E0F">
        <w:t>dry-weather flow</w:t>
      </w:r>
      <w:r>
        <w:t xml:space="preserve"> in MG for the 24-hour design rainfall period. It </w:t>
      </w:r>
      <w:r w:rsidR="002D32F7">
        <w:t xml:space="preserve">was previously </w:t>
      </w:r>
      <w:r>
        <w:t xml:space="preserve">calculated </w:t>
      </w:r>
      <w:r w:rsidR="002D32F7">
        <w:t>in Schedule 4-CSO VOLUME (Line 14 on Schedule 4-CSO VOLUME. If you are using the electronic version of</w:t>
      </w:r>
      <w:r w:rsidR="00560321" w:rsidRPr="00560321">
        <w:t xml:space="preserve"> </w:t>
      </w:r>
      <w:r w:rsidR="00560321">
        <w:t>this form, this value will have been filled in automatically).</w:t>
      </w:r>
    </w:p>
    <w:p w:rsidR="00833F3F" w:rsidRDefault="00833F3F" w:rsidP="00501CE1">
      <w:pPr>
        <w:pStyle w:val="BodyText"/>
      </w:pPr>
      <w:r w:rsidRPr="00FA6577">
        <w:rPr>
          <w:rStyle w:val="Bold"/>
        </w:rPr>
        <w:t>Line 64 – Revised total volume of flow (MG).</w:t>
      </w:r>
      <w:r>
        <w:t xml:space="preserve"> This is </w:t>
      </w:r>
      <w:r>
        <w:lastRenderedPageBreak/>
        <w:t>the total volume of flow in MG within each sub-sewershed for the 24-hour design rainfall period. Add Lines 54 and 63 and enter the sum on Line 64.</w:t>
      </w:r>
    </w:p>
    <w:p w:rsidR="0062037C" w:rsidRDefault="00833F3F" w:rsidP="00501CE1">
      <w:pPr>
        <w:pStyle w:val="BodyText"/>
      </w:pPr>
      <w:r w:rsidRPr="00FA6577">
        <w:rPr>
          <w:rStyle w:val="Bold"/>
        </w:rPr>
        <w:t>Line 65 – Revised volume of excess combined sewage at individual CSO hydraulic controls during 24-hour rainfall period.</w:t>
      </w:r>
      <w:r>
        <w:t xml:space="preserve"> This is the recalculated CSO volume at the CSO hydraulic control and is the combined sewage that exceeds the diversion capacity determined by the CSO hydraulic control in each sub-sewershed. Multiply Line 62 by Line 64 and enter the product on Line 65</w:t>
      </w:r>
      <w:r w:rsidR="0062037C">
        <w:t>.</w:t>
      </w:r>
    </w:p>
    <w:p w:rsidR="00833F3F" w:rsidRDefault="007E7077" w:rsidP="00AB5C8C">
      <w:pPr>
        <w:pStyle w:val="Heading2"/>
        <w:spacing w:before="240"/>
      </w:pPr>
      <w:bookmarkStart w:id="166" w:name="_Toc243725264"/>
      <w:bookmarkStart w:id="167" w:name="_Toc243809446"/>
      <w:bookmarkStart w:id="168" w:name="_Toc285015610"/>
      <w:r>
        <w:t xml:space="preserve">Revised </w:t>
      </w:r>
      <w:r w:rsidR="00833F3F">
        <w:t>Diversion</w:t>
      </w:r>
      <w:bookmarkEnd w:id="166"/>
      <w:bookmarkEnd w:id="167"/>
      <w:bookmarkEnd w:id="168"/>
    </w:p>
    <w:p w:rsidR="00833F3F" w:rsidRDefault="00833F3F" w:rsidP="00501CE1">
      <w:pPr>
        <w:pStyle w:val="BodyText"/>
      </w:pPr>
      <w:r w:rsidRPr="00FA6577">
        <w:rPr>
          <w:rStyle w:val="Bold"/>
        </w:rPr>
        <w:t xml:space="preserve">Line 66 – Diversion fraction of combined sewage. </w:t>
      </w:r>
      <w:r>
        <w:t>This is the fraction of runoff within each sub</w:t>
      </w:r>
      <w:r w:rsidR="000143B9">
        <w:t>-</w:t>
      </w:r>
      <w:r>
        <w:t xml:space="preserve">sewershed that is collected and diverted to the WWTP over the 24-hour design storm period. The diversion fraction is based on the ratio of CSO hydraulic control capacity to peak flow rate and conveyance. </w:t>
      </w:r>
      <w:r w:rsidR="000143B9">
        <w:t xml:space="preserve">It was previously calculated in Schedule 4-CSO VOLUME. </w:t>
      </w:r>
      <w:r>
        <w:t xml:space="preserve">Determine the diversion fraction of combined sewage </w:t>
      </w:r>
      <w:r w:rsidR="000143B9">
        <w:t xml:space="preserve">again using the revised value on </w:t>
      </w:r>
      <w:r>
        <w:t xml:space="preserve">Line </w:t>
      </w:r>
      <w:r w:rsidR="000143B9">
        <w:t>61</w:t>
      </w:r>
      <w:r>
        <w:t xml:space="preserve"> </w:t>
      </w:r>
      <w:r w:rsidR="000143B9">
        <w:t>along with</w:t>
      </w:r>
      <w:r>
        <w:t xml:space="preserve"> Table 2</w:t>
      </w:r>
      <w:r w:rsidR="000143B9">
        <w:t>,</w:t>
      </w:r>
      <w:r>
        <w:t xml:space="preserve"> and enter </w:t>
      </w:r>
      <w:r w:rsidR="000143B9">
        <w:t xml:space="preserve">it </w:t>
      </w:r>
      <w:r>
        <w:t xml:space="preserve">on Line </w:t>
      </w:r>
      <w:r w:rsidR="000143B9">
        <w:t>66</w:t>
      </w:r>
      <w:r>
        <w:t>.</w:t>
      </w:r>
    </w:p>
    <w:p w:rsidR="0062037C" w:rsidRDefault="00833F3F" w:rsidP="00501CE1">
      <w:pPr>
        <w:pStyle w:val="BodyText"/>
      </w:pPr>
      <w:r w:rsidRPr="00FA6577">
        <w:rPr>
          <w:rStyle w:val="Bold"/>
        </w:rPr>
        <w:t xml:space="preserve">Line </w:t>
      </w:r>
      <w:r w:rsidR="000143B9" w:rsidRPr="00FA6577">
        <w:rPr>
          <w:rStyle w:val="Bold"/>
        </w:rPr>
        <w:t>67</w:t>
      </w:r>
      <w:r w:rsidRPr="00FA6577">
        <w:rPr>
          <w:rStyle w:val="Bold"/>
        </w:rPr>
        <w:t xml:space="preserve"> – </w:t>
      </w:r>
      <w:r w:rsidR="000143B9" w:rsidRPr="00FA6577">
        <w:rPr>
          <w:rStyle w:val="Bold"/>
        </w:rPr>
        <w:t>Revised v</w:t>
      </w:r>
      <w:r w:rsidRPr="00FA6577">
        <w:rPr>
          <w:rStyle w:val="Bold"/>
        </w:rPr>
        <w:t xml:space="preserve">olume of runoff diverted to WWTP. </w:t>
      </w:r>
      <w:r>
        <w:t xml:space="preserve">This is the </w:t>
      </w:r>
      <w:r w:rsidR="000143B9">
        <w:t xml:space="preserve">recalculated </w:t>
      </w:r>
      <w:r>
        <w:t xml:space="preserve">volume of runoff within each sub-sewershed that is collected and diverted to the WWTP over the 24-hour design storm period. Multiply Line </w:t>
      </w:r>
      <w:r w:rsidR="000143B9">
        <w:t xml:space="preserve">54 </w:t>
      </w:r>
      <w:r>
        <w:t xml:space="preserve">by Line </w:t>
      </w:r>
      <w:r w:rsidR="000143B9">
        <w:t>66</w:t>
      </w:r>
      <w:r>
        <w:t xml:space="preserve"> and enter the product on Line </w:t>
      </w:r>
      <w:r w:rsidR="000143B9">
        <w:t>67</w:t>
      </w:r>
      <w:r w:rsidR="0062037C">
        <w:t>.</w:t>
      </w:r>
    </w:p>
    <w:p w:rsidR="0062037C" w:rsidRDefault="00833F3F" w:rsidP="00501CE1">
      <w:pPr>
        <w:pStyle w:val="BodyText"/>
        <w:rPr>
          <w:bCs/>
          <w:szCs w:val="20"/>
        </w:rPr>
      </w:pPr>
      <w:r w:rsidRPr="00FA6577">
        <w:rPr>
          <w:rStyle w:val="Bold"/>
        </w:rPr>
        <w:t xml:space="preserve">Line </w:t>
      </w:r>
      <w:r w:rsidR="000143B9" w:rsidRPr="00FA6577">
        <w:rPr>
          <w:rStyle w:val="Bold"/>
        </w:rPr>
        <w:t>68</w:t>
      </w:r>
      <w:r w:rsidRPr="00FA6577">
        <w:rPr>
          <w:rStyle w:val="Bold"/>
        </w:rPr>
        <w:t xml:space="preserve"> – </w:t>
      </w:r>
      <w:r w:rsidR="000143B9" w:rsidRPr="00FA6577">
        <w:rPr>
          <w:rStyle w:val="Bold"/>
        </w:rPr>
        <w:t>Revised t</w:t>
      </w:r>
      <w:r w:rsidRPr="00FA6577">
        <w:rPr>
          <w:rStyle w:val="Bold"/>
        </w:rPr>
        <w:t>otal volume of combined sewage conveyed to WWTP during 24-hour rainfall period (MG)</w:t>
      </w:r>
      <w:r w:rsidR="0043213D" w:rsidRPr="00FA6577">
        <w:rPr>
          <w:rStyle w:val="Bold"/>
        </w:rPr>
        <w:t xml:space="preserve">. </w:t>
      </w:r>
      <w:r>
        <w:rPr>
          <w:bCs/>
          <w:szCs w:val="20"/>
        </w:rPr>
        <w:t xml:space="preserve">Add Lines </w:t>
      </w:r>
      <w:r w:rsidR="007E7077">
        <w:rPr>
          <w:bCs/>
          <w:szCs w:val="20"/>
        </w:rPr>
        <w:t>63</w:t>
      </w:r>
      <w:r>
        <w:rPr>
          <w:bCs/>
          <w:szCs w:val="20"/>
        </w:rPr>
        <w:t xml:space="preserve"> and </w:t>
      </w:r>
      <w:r w:rsidR="007E7077">
        <w:rPr>
          <w:bCs/>
          <w:szCs w:val="20"/>
        </w:rPr>
        <w:t>67</w:t>
      </w:r>
      <w:r>
        <w:rPr>
          <w:bCs/>
          <w:szCs w:val="20"/>
        </w:rPr>
        <w:t xml:space="preserve"> and enter the sum on Line </w:t>
      </w:r>
      <w:r w:rsidR="007E7077">
        <w:rPr>
          <w:bCs/>
          <w:szCs w:val="20"/>
        </w:rPr>
        <w:t>68</w:t>
      </w:r>
      <w:r w:rsidR="0062037C">
        <w:rPr>
          <w:bCs/>
          <w:szCs w:val="20"/>
        </w:rPr>
        <w:t>.</w:t>
      </w:r>
    </w:p>
    <w:p w:rsidR="00833F3F" w:rsidRDefault="007E7077" w:rsidP="00AB5C8C">
      <w:pPr>
        <w:pStyle w:val="Heading2"/>
        <w:spacing w:before="240"/>
      </w:pPr>
      <w:bookmarkStart w:id="169" w:name="_Toc243725265"/>
      <w:bookmarkStart w:id="170" w:name="_Toc243809447"/>
      <w:bookmarkStart w:id="171" w:name="_Toc285015611"/>
      <w:r>
        <w:t xml:space="preserve">Revised </w:t>
      </w:r>
      <w:r w:rsidR="00833F3F">
        <w:t>Conveyance</w:t>
      </w:r>
      <w:bookmarkEnd w:id="169"/>
      <w:bookmarkEnd w:id="170"/>
      <w:bookmarkEnd w:id="171"/>
    </w:p>
    <w:p w:rsidR="00833F3F" w:rsidRDefault="00833F3F" w:rsidP="00501CE1">
      <w:pPr>
        <w:pStyle w:val="BodyText"/>
      </w:pPr>
      <w:r w:rsidRPr="00FA6577">
        <w:rPr>
          <w:rStyle w:val="Bold"/>
        </w:rPr>
        <w:t xml:space="preserve">Line </w:t>
      </w:r>
      <w:r w:rsidR="007E7077" w:rsidRPr="00FA6577">
        <w:rPr>
          <w:rStyle w:val="Bold"/>
        </w:rPr>
        <w:t>69</w:t>
      </w:r>
      <w:r w:rsidRPr="00FA6577">
        <w:rPr>
          <w:rStyle w:val="Bold"/>
        </w:rPr>
        <w:t xml:space="preserve"> – </w:t>
      </w:r>
      <w:r w:rsidR="007E7077" w:rsidRPr="00FA6577">
        <w:rPr>
          <w:rStyle w:val="Bold"/>
        </w:rPr>
        <w:t>Revised p</w:t>
      </w:r>
      <w:r w:rsidRPr="00FA6577">
        <w:rPr>
          <w:rStyle w:val="Bold"/>
        </w:rPr>
        <w:t xml:space="preserve">eak rate of collected combined sewage diverted to the WWTP within sub-sewersheds. </w:t>
      </w:r>
      <w:r>
        <w:t xml:space="preserve">Identify the smaller of Line </w:t>
      </w:r>
      <w:r w:rsidR="007E7077">
        <w:t>59</w:t>
      </w:r>
      <w:r>
        <w:t xml:space="preserve"> and Line </w:t>
      </w:r>
      <w:r w:rsidR="007E7077">
        <w:t>60</w:t>
      </w:r>
      <w:r>
        <w:t xml:space="preserve"> within each</w:t>
      </w:r>
      <w:r w:rsidR="00501CE1">
        <w:t xml:space="preserve"> </w:t>
      </w:r>
      <w:r>
        <w:t xml:space="preserve">sub-sewershed and enter the peak rate in MGD on Line </w:t>
      </w:r>
      <w:r w:rsidR="007E7077">
        <w:t>69</w:t>
      </w:r>
      <w:r>
        <w:t>.</w:t>
      </w:r>
    </w:p>
    <w:p w:rsidR="0062037C" w:rsidRDefault="00833F3F" w:rsidP="00501CE1">
      <w:pPr>
        <w:pStyle w:val="BodyText"/>
      </w:pPr>
      <w:r w:rsidRPr="00FA6577">
        <w:rPr>
          <w:rStyle w:val="Bold"/>
        </w:rPr>
        <w:t xml:space="preserve">Line </w:t>
      </w:r>
      <w:r w:rsidR="007E7077" w:rsidRPr="00FA6577">
        <w:rPr>
          <w:rStyle w:val="Bold"/>
        </w:rPr>
        <w:t>70</w:t>
      </w:r>
      <w:r w:rsidRPr="00FA6577">
        <w:rPr>
          <w:rStyle w:val="Bold"/>
        </w:rPr>
        <w:t xml:space="preserve"> – </w:t>
      </w:r>
      <w:r w:rsidR="007E7077" w:rsidRPr="00FA6577">
        <w:rPr>
          <w:rStyle w:val="Bold"/>
        </w:rPr>
        <w:t>Revised p</w:t>
      </w:r>
      <w:r w:rsidRPr="00FA6577">
        <w:rPr>
          <w:rStyle w:val="Bold"/>
        </w:rPr>
        <w:t>eak rate of combined sewage conveyed to WWTP (MGD).</w:t>
      </w:r>
      <w:r>
        <w:t xml:space="preserve"> This peak rate represents the sum of the peak rates of collected combined sewage diverted to the WWTP from individual sub-sewersheds in MGD. Add up sub-sewershed values on Line </w:t>
      </w:r>
      <w:r w:rsidR="007E7077">
        <w:t>69</w:t>
      </w:r>
      <w:r>
        <w:t xml:space="preserve"> and enter </w:t>
      </w:r>
      <w:r w:rsidR="00AB5C8C">
        <w:t xml:space="preserve">the sum </w:t>
      </w:r>
      <w:r>
        <w:t xml:space="preserve">on Line </w:t>
      </w:r>
      <w:r w:rsidR="007E7077">
        <w:t>70</w:t>
      </w:r>
      <w:r w:rsidR="0062037C">
        <w:t>.</w:t>
      </w:r>
    </w:p>
    <w:p w:rsidR="003F54EE" w:rsidRDefault="00833F3F" w:rsidP="00501CE1">
      <w:pPr>
        <w:pStyle w:val="BodyText"/>
        <w:rPr>
          <w:bCs/>
        </w:rPr>
      </w:pPr>
      <w:r w:rsidRPr="00FA6577">
        <w:rPr>
          <w:rStyle w:val="Bold"/>
        </w:rPr>
        <w:t xml:space="preserve">Line </w:t>
      </w:r>
      <w:r w:rsidR="007E7077" w:rsidRPr="00FA6577">
        <w:rPr>
          <w:rStyle w:val="Bold"/>
        </w:rPr>
        <w:t>71</w:t>
      </w:r>
      <w:r w:rsidRPr="00FA6577">
        <w:rPr>
          <w:rStyle w:val="Bold"/>
        </w:rPr>
        <w:t xml:space="preserve"> – Peak rate of sewage from non-CSO areas (MGD</w:t>
      </w:r>
      <w:r w:rsidR="00210D2B" w:rsidRPr="00FA6577">
        <w:rPr>
          <w:rStyle w:val="Bold"/>
        </w:rPr>
        <w:t xml:space="preserve">). </w:t>
      </w:r>
      <w:r w:rsidR="003F54EE">
        <w:t xml:space="preserve">Enter the peak rate of sewage conveyed to the WWTP from non-CSO areas in the community in MGD on Line </w:t>
      </w:r>
      <w:r w:rsidR="00210D2B">
        <w:t>71</w:t>
      </w:r>
      <w:r w:rsidR="003F54EE">
        <w:t>.</w:t>
      </w:r>
      <w:r w:rsidR="00210D2B">
        <w:t xml:space="preserve"> (Line 22 on Schedule 4-CSO VOLUME. If you are using the electronic version of the form, this value will have been filled in automatically)</w:t>
      </w:r>
      <w:r w:rsidR="00210D2B">
        <w:rPr>
          <w:bCs/>
        </w:rPr>
        <w:t>.</w:t>
      </w:r>
    </w:p>
    <w:p w:rsidR="003F54EE" w:rsidRPr="00210D2B" w:rsidRDefault="003F54EE" w:rsidP="00501CE1">
      <w:pPr>
        <w:pStyle w:val="BodyText"/>
      </w:pPr>
      <w:r w:rsidRPr="00FA6577">
        <w:rPr>
          <w:rStyle w:val="Bold"/>
        </w:rPr>
        <w:t xml:space="preserve">Line </w:t>
      </w:r>
      <w:r w:rsidR="007E7077" w:rsidRPr="00FA6577">
        <w:rPr>
          <w:rStyle w:val="Bold"/>
        </w:rPr>
        <w:t>72</w:t>
      </w:r>
      <w:r w:rsidRPr="00FA6577">
        <w:rPr>
          <w:rStyle w:val="Bold"/>
        </w:rPr>
        <w:t xml:space="preserve"> – Peak rate of sewage from satellite communities (MGD). </w:t>
      </w:r>
      <w:r>
        <w:t xml:space="preserve">Enter the peak rate of sewage conveyed to the WWTP from satellite communities in MGD on Line </w:t>
      </w:r>
      <w:r w:rsidR="00210D2B">
        <w:t>72</w:t>
      </w:r>
      <w:r>
        <w:t>.</w:t>
      </w:r>
      <w:r w:rsidR="00210D2B">
        <w:t xml:space="preserve"> </w:t>
      </w:r>
      <w:r w:rsidR="00210D2B" w:rsidRPr="00210D2B">
        <w:t xml:space="preserve">(Line </w:t>
      </w:r>
      <w:r w:rsidR="00210D2B">
        <w:t>23</w:t>
      </w:r>
      <w:r w:rsidR="00210D2B" w:rsidRPr="00210D2B">
        <w:t xml:space="preserve"> on Schedule 4-CSO VOLUME. If you are using the electronic version of the form, this value will have been filled in automatically).</w:t>
      </w:r>
    </w:p>
    <w:p w:rsidR="0062037C" w:rsidRDefault="003F54EE" w:rsidP="00501CE1">
      <w:pPr>
        <w:pStyle w:val="BodyText"/>
      </w:pPr>
      <w:r w:rsidRPr="00FA6577">
        <w:rPr>
          <w:rStyle w:val="Bold"/>
        </w:rPr>
        <w:t xml:space="preserve">Line </w:t>
      </w:r>
      <w:r w:rsidR="00210D2B" w:rsidRPr="00FA6577">
        <w:rPr>
          <w:rStyle w:val="Bold"/>
        </w:rPr>
        <w:t>73</w:t>
      </w:r>
      <w:r w:rsidRPr="00FA6577">
        <w:rPr>
          <w:rStyle w:val="Bold"/>
        </w:rPr>
        <w:t xml:space="preserve"> – </w:t>
      </w:r>
      <w:r w:rsidR="00210D2B" w:rsidRPr="00FA6577">
        <w:rPr>
          <w:rStyle w:val="Bold"/>
        </w:rPr>
        <w:t>Revised p</w:t>
      </w:r>
      <w:r w:rsidRPr="00FA6577">
        <w:rPr>
          <w:rStyle w:val="Bold"/>
        </w:rPr>
        <w:t>eak rate of sewage conveyed to the WWTP (MGD).</w:t>
      </w:r>
      <w:r>
        <w:t xml:space="preserve"> This is the </w:t>
      </w:r>
      <w:r w:rsidR="00210D2B">
        <w:t xml:space="preserve">recalculated </w:t>
      </w:r>
      <w:r>
        <w:t xml:space="preserve">peak rate of sewage flow in MGD received at the WWTP from the CSS and adjacent non-CSO areas in the community and satellite communities. Add Lines </w:t>
      </w:r>
      <w:r w:rsidR="00210D2B">
        <w:t>70</w:t>
      </w:r>
      <w:r>
        <w:t xml:space="preserve">, </w:t>
      </w:r>
      <w:r w:rsidR="00210D2B">
        <w:t>71</w:t>
      </w:r>
      <w:r>
        <w:t xml:space="preserve"> and </w:t>
      </w:r>
      <w:r w:rsidR="00210D2B">
        <w:t>72</w:t>
      </w:r>
      <w:r>
        <w:t xml:space="preserve"> and enter the sum on Line </w:t>
      </w:r>
      <w:r w:rsidR="00210D2B">
        <w:t>73</w:t>
      </w:r>
      <w:r w:rsidR="0062037C">
        <w:t>.</w:t>
      </w:r>
    </w:p>
    <w:p w:rsidR="003F54EE" w:rsidRDefault="003F54EE" w:rsidP="003859D2">
      <w:pPr>
        <w:pStyle w:val="Heading2"/>
      </w:pPr>
      <w:bookmarkStart w:id="172" w:name="_Toc243725266"/>
      <w:bookmarkStart w:id="173" w:name="_Toc243809448"/>
      <w:bookmarkStart w:id="174" w:name="_Toc285015612"/>
      <w:r>
        <w:t>Treatment</w:t>
      </w:r>
      <w:bookmarkEnd w:id="172"/>
      <w:bookmarkEnd w:id="173"/>
      <w:bookmarkEnd w:id="174"/>
    </w:p>
    <w:p w:rsidR="0062037C" w:rsidRDefault="003F54EE" w:rsidP="00501CE1">
      <w:pPr>
        <w:pStyle w:val="BodyText"/>
      </w:pPr>
      <w:r w:rsidRPr="00FA6577">
        <w:rPr>
          <w:rStyle w:val="Bold"/>
        </w:rPr>
        <w:t xml:space="preserve">Line </w:t>
      </w:r>
      <w:r w:rsidR="00210D2B" w:rsidRPr="00FA6577">
        <w:rPr>
          <w:rStyle w:val="Bold"/>
        </w:rPr>
        <w:t>74</w:t>
      </w:r>
      <w:r w:rsidRPr="00FA6577">
        <w:rPr>
          <w:rStyle w:val="Bold"/>
        </w:rPr>
        <w:t xml:space="preserve"> – Primary treatment capacity (MGD). </w:t>
      </w:r>
      <w:r>
        <w:rPr>
          <w:bCs/>
        </w:rPr>
        <w:t xml:space="preserve">Enter the primary treatment capacity in MGD on Line </w:t>
      </w:r>
      <w:r w:rsidR="00210D2B">
        <w:rPr>
          <w:bCs/>
        </w:rPr>
        <w:t>74</w:t>
      </w:r>
      <w:r>
        <w:rPr>
          <w:bCs/>
        </w:rPr>
        <w:t xml:space="preserve"> (Line 4a on FORM LTCP-EZ.</w:t>
      </w:r>
      <w:r>
        <w:t xml:space="preserve"> If you are using the electronic version of the form, this value will have been filled in automatically)</w:t>
      </w:r>
      <w:r w:rsidR="0062037C">
        <w:t>.</w:t>
      </w:r>
    </w:p>
    <w:p w:rsidR="003F54EE" w:rsidRDefault="003F54EE" w:rsidP="00501CE1">
      <w:pPr>
        <w:pStyle w:val="BodyText"/>
      </w:pPr>
      <w:r w:rsidRPr="00FA6577">
        <w:rPr>
          <w:rStyle w:val="Bold"/>
        </w:rPr>
        <w:t xml:space="preserve">Line </w:t>
      </w:r>
      <w:r w:rsidR="00210D2B" w:rsidRPr="00FA6577">
        <w:rPr>
          <w:rStyle w:val="Bold"/>
        </w:rPr>
        <w:t>75</w:t>
      </w:r>
      <w:r w:rsidRPr="00FA6577">
        <w:rPr>
          <w:rStyle w:val="Bold"/>
        </w:rPr>
        <w:t xml:space="preserve"> – </w:t>
      </w:r>
      <w:r w:rsidR="00210D2B" w:rsidRPr="00FA6577">
        <w:rPr>
          <w:rStyle w:val="Bold"/>
        </w:rPr>
        <w:t>Revised r</w:t>
      </w:r>
      <w:r w:rsidRPr="00FA6577">
        <w:rPr>
          <w:rStyle w:val="Bold"/>
        </w:rPr>
        <w:t xml:space="preserve">atio of primary treatment capacity to peak rate of sewage conveyed to WWTP. </w:t>
      </w:r>
      <w:r>
        <w:t xml:space="preserve">Enter 1.0 on Line </w:t>
      </w:r>
      <w:r w:rsidR="00210D2B">
        <w:t>75</w:t>
      </w:r>
      <w:r>
        <w:t xml:space="preserve"> if Line </w:t>
      </w:r>
      <w:r w:rsidR="00210D2B">
        <w:t>74</w:t>
      </w:r>
      <w:r>
        <w:t xml:space="preserve"> is greater than Line </w:t>
      </w:r>
      <w:r w:rsidR="00210D2B">
        <w:t>73</w:t>
      </w:r>
      <w:r>
        <w:t xml:space="preserve">. Otherwise, divide Line </w:t>
      </w:r>
      <w:r w:rsidR="00210D2B">
        <w:t>74</w:t>
      </w:r>
      <w:r>
        <w:t xml:space="preserve"> by Line </w:t>
      </w:r>
      <w:r w:rsidR="00210D2B">
        <w:t>73</w:t>
      </w:r>
      <w:r>
        <w:t xml:space="preserve"> and enter the quotient (result) on Line </w:t>
      </w:r>
      <w:r w:rsidR="00210D2B">
        <w:t>75</w:t>
      </w:r>
      <w:r>
        <w:t>.</w:t>
      </w:r>
    </w:p>
    <w:p w:rsidR="0062037C" w:rsidRDefault="003F54EE" w:rsidP="00501CE1">
      <w:pPr>
        <w:pStyle w:val="BodyText"/>
      </w:pPr>
      <w:r w:rsidRPr="00FA6577">
        <w:rPr>
          <w:rStyle w:val="Bold"/>
        </w:rPr>
        <w:t xml:space="preserve">Line </w:t>
      </w:r>
      <w:r w:rsidR="00210D2B" w:rsidRPr="00FA6577">
        <w:rPr>
          <w:rStyle w:val="Bold"/>
        </w:rPr>
        <w:t>76</w:t>
      </w:r>
      <w:r w:rsidRPr="00FA6577">
        <w:rPr>
          <w:rStyle w:val="Bold"/>
        </w:rPr>
        <w:t xml:space="preserve"> –</w:t>
      </w:r>
      <w:r w:rsidR="00210D2B" w:rsidRPr="00FA6577">
        <w:rPr>
          <w:rStyle w:val="Bold"/>
        </w:rPr>
        <w:t xml:space="preserve"> Revised f</w:t>
      </w:r>
      <w:r w:rsidRPr="00FA6577">
        <w:rPr>
          <w:rStyle w:val="Bold"/>
        </w:rPr>
        <w:t xml:space="preserve">raction of combined sewage untreated at WWTP. </w:t>
      </w:r>
      <w:r>
        <w:t xml:space="preserve">This is the fraction of sewage delivered to the WWTP during the 24-hour rainfall period that does not received primary treatment. It is based on the ratio of primary treatment capacity to peak rate of sewage conveyed to the WWTP. </w:t>
      </w:r>
      <w:r w:rsidR="00210D2B">
        <w:t xml:space="preserve">It was previously calculated in Schedule 4-CSO VOLUME. Recalculate </w:t>
      </w:r>
      <w:r w:rsidR="00AB5C8C">
        <w:t xml:space="preserve">it </w:t>
      </w:r>
      <w:r w:rsidR="00210D2B">
        <w:t>by t</w:t>
      </w:r>
      <w:r>
        <w:t>ak</w:t>
      </w:r>
      <w:r w:rsidR="00210D2B">
        <w:t>ing</w:t>
      </w:r>
      <w:r>
        <w:t xml:space="preserve"> the square of (1 minus the value on Line </w:t>
      </w:r>
      <w:r w:rsidR="00210D2B">
        <w:t>75</w:t>
      </w:r>
      <w:r>
        <w:t xml:space="preserve">) and enter it on Line </w:t>
      </w:r>
      <w:r w:rsidR="00210D2B">
        <w:t>76</w:t>
      </w:r>
      <w:r>
        <w:t>. For example, if the ratio of primary treatment capacity to peak rate of sewage conveyed to the WWTP on Line 26 is 0.80, the overflow fraction is (1</w:t>
      </w:r>
      <w:r w:rsidR="00AB5C8C">
        <w:t xml:space="preserve"> – </w:t>
      </w:r>
      <w:r>
        <w:t>0.80)</w:t>
      </w:r>
      <w:r>
        <w:rPr>
          <w:vertAlign w:val="superscript"/>
        </w:rPr>
        <w:t>2</w:t>
      </w:r>
      <w:r>
        <w:t>, or 0.04</w:t>
      </w:r>
      <w:r w:rsidR="0062037C">
        <w:t>.</w:t>
      </w:r>
    </w:p>
    <w:p w:rsidR="0062037C" w:rsidRDefault="003F54EE" w:rsidP="00501CE1">
      <w:pPr>
        <w:pStyle w:val="BodyText"/>
        <w:rPr>
          <w:bCs/>
          <w:szCs w:val="20"/>
        </w:rPr>
      </w:pPr>
      <w:r w:rsidRPr="00FA6577">
        <w:rPr>
          <w:rStyle w:val="Bold"/>
        </w:rPr>
        <w:t xml:space="preserve">Line </w:t>
      </w:r>
      <w:r w:rsidR="00210D2B" w:rsidRPr="00FA6577">
        <w:rPr>
          <w:rStyle w:val="Bold"/>
        </w:rPr>
        <w:t>77</w:t>
      </w:r>
      <w:r w:rsidRPr="00FA6577">
        <w:rPr>
          <w:rStyle w:val="Bold"/>
        </w:rPr>
        <w:t xml:space="preserve"> – </w:t>
      </w:r>
      <w:r w:rsidR="00210D2B" w:rsidRPr="00FA6577">
        <w:rPr>
          <w:rStyle w:val="Bold"/>
        </w:rPr>
        <w:t>Revised s</w:t>
      </w:r>
      <w:r w:rsidRPr="00FA6577">
        <w:rPr>
          <w:rStyle w:val="Bold"/>
        </w:rPr>
        <w:t xml:space="preserve">um of combined sewage conveyed to WWTP during 24-hour rainfall period (MG). </w:t>
      </w:r>
      <w:r>
        <w:rPr>
          <w:bCs/>
          <w:szCs w:val="20"/>
        </w:rPr>
        <w:t xml:space="preserve">Add up the sub-sewershed values in MG on Line </w:t>
      </w:r>
      <w:r w:rsidR="00210D2B">
        <w:rPr>
          <w:bCs/>
          <w:szCs w:val="20"/>
        </w:rPr>
        <w:t>68</w:t>
      </w:r>
      <w:r>
        <w:rPr>
          <w:bCs/>
          <w:szCs w:val="20"/>
        </w:rPr>
        <w:t xml:space="preserve"> and enter </w:t>
      </w:r>
      <w:r w:rsidR="00AB5C8C">
        <w:rPr>
          <w:bCs/>
          <w:szCs w:val="20"/>
        </w:rPr>
        <w:t xml:space="preserve">the sum </w:t>
      </w:r>
      <w:r>
        <w:rPr>
          <w:bCs/>
          <w:szCs w:val="20"/>
        </w:rPr>
        <w:t xml:space="preserve">on Line </w:t>
      </w:r>
      <w:r w:rsidR="00210D2B">
        <w:rPr>
          <w:bCs/>
          <w:szCs w:val="20"/>
        </w:rPr>
        <w:t>77</w:t>
      </w:r>
      <w:r w:rsidR="0062037C">
        <w:rPr>
          <w:bCs/>
          <w:szCs w:val="20"/>
        </w:rPr>
        <w:t>.</w:t>
      </w:r>
    </w:p>
    <w:p w:rsidR="003F54EE" w:rsidRDefault="003F54EE" w:rsidP="00501CE1">
      <w:pPr>
        <w:pStyle w:val="BodyText"/>
      </w:pPr>
      <w:r w:rsidRPr="00FA6577">
        <w:rPr>
          <w:rStyle w:val="Bold"/>
        </w:rPr>
        <w:t xml:space="preserve">Line </w:t>
      </w:r>
      <w:r w:rsidR="00F558EB" w:rsidRPr="00FA6577">
        <w:rPr>
          <w:rStyle w:val="Bold"/>
        </w:rPr>
        <w:t xml:space="preserve">78 – </w:t>
      </w:r>
      <w:r w:rsidRPr="00FA6577">
        <w:rPr>
          <w:rStyle w:val="Bold"/>
        </w:rPr>
        <w:t xml:space="preserve">Volume of sewage from non-CSO areas during 24-hour rainfall period (MG). </w:t>
      </w:r>
      <w:r>
        <w:t xml:space="preserve">The volume of sewage from non-CSO areas during the 24-hour rainfall period </w:t>
      </w:r>
      <w:r w:rsidR="00F558EB">
        <w:t>was previously calculated in Schedule 4-CSO VOLUME</w:t>
      </w:r>
      <w:r w:rsidR="0043213D">
        <w:t xml:space="preserve">. </w:t>
      </w:r>
      <w:r w:rsidR="00F558EB">
        <w:lastRenderedPageBreak/>
        <w:t>Enter Line 30 from Schedule 4-CSO VOLUME. If you are using the electronic version of the form, this value will have been filled in automatically.</w:t>
      </w:r>
    </w:p>
    <w:p w:rsidR="00F558EB" w:rsidRDefault="003F54EE" w:rsidP="00501CE1">
      <w:pPr>
        <w:pStyle w:val="BodyText"/>
      </w:pPr>
      <w:r w:rsidRPr="00FA6577">
        <w:rPr>
          <w:rStyle w:val="Bold"/>
        </w:rPr>
        <w:t xml:space="preserve">Line </w:t>
      </w:r>
      <w:r w:rsidR="00F558EB" w:rsidRPr="00FA6577">
        <w:rPr>
          <w:rStyle w:val="Bold"/>
        </w:rPr>
        <w:t xml:space="preserve">79 – </w:t>
      </w:r>
      <w:r w:rsidRPr="00FA6577">
        <w:rPr>
          <w:rStyle w:val="Bold"/>
        </w:rPr>
        <w:t xml:space="preserve">Volume of sewage from satellite communities during 24-hour rainfall period (MG). </w:t>
      </w:r>
      <w:r>
        <w:t xml:space="preserve">The volume of sewage from satellite communities during the 24-hour rainfall period </w:t>
      </w:r>
      <w:r w:rsidR="00F558EB">
        <w:t>was previously calculated in Schedule 4-CSO VOLUME</w:t>
      </w:r>
      <w:r w:rsidR="0043213D">
        <w:t xml:space="preserve">. </w:t>
      </w:r>
      <w:r w:rsidR="00F558EB">
        <w:t>Enter Line 32 from Schedule 4-CSO VOLUME. If you are using the electronic version of the form, this value will have been filled in automatically.</w:t>
      </w:r>
    </w:p>
    <w:p w:rsidR="0062037C" w:rsidRDefault="003F54EE" w:rsidP="00501CE1">
      <w:pPr>
        <w:pStyle w:val="BodyText"/>
        <w:rPr>
          <w:bCs/>
          <w:szCs w:val="20"/>
        </w:rPr>
      </w:pPr>
      <w:r w:rsidRPr="00FA6577">
        <w:rPr>
          <w:rStyle w:val="Bold"/>
        </w:rPr>
        <w:t xml:space="preserve">Line </w:t>
      </w:r>
      <w:r w:rsidR="00F558EB" w:rsidRPr="00FA6577">
        <w:rPr>
          <w:rStyle w:val="Bold"/>
        </w:rPr>
        <w:t>80</w:t>
      </w:r>
      <w:r w:rsidRPr="00FA6577">
        <w:rPr>
          <w:rStyle w:val="Bold"/>
        </w:rPr>
        <w:t xml:space="preserve"> – </w:t>
      </w:r>
      <w:r w:rsidR="00F558EB" w:rsidRPr="00FA6577">
        <w:rPr>
          <w:rStyle w:val="Bold"/>
        </w:rPr>
        <w:t>Revised t</w:t>
      </w:r>
      <w:r w:rsidRPr="00FA6577">
        <w:rPr>
          <w:rStyle w:val="Bold"/>
        </w:rPr>
        <w:t xml:space="preserve">otal volume of sewage during 24-hour rainfall event (MG). </w:t>
      </w:r>
      <w:r>
        <w:rPr>
          <w:bCs/>
          <w:szCs w:val="20"/>
        </w:rPr>
        <w:t xml:space="preserve">Add Lines </w:t>
      </w:r>
      <w:r w:rsidR="00F558EB">
        <w:rPr>
          <w:bCs/>
          <w:szCs w:val="20"/>
        </w:rPr>
        <w:t>77</w:t>
      </w:r>
      <w:r>
        <w:rPr>
          <w:bCs/>
          <w:szCs w:val="20"/>
        </w:rPr>
        <w:t xml:space="preserve">, </w:t>
      </w:r>
      <w:r w:rsidR="00F558EB">
        <w:rPr>
          <w:bCs/>
          <w:szCs w:val="20"/>
        </w:rPr>
        <w:t>78</w:t>
      </w:r>
      <w:r w:rsidR="00AB5C8C">
        <w:rPr>
          <w:bCs/>
          <w:szCs w:val="20"/>
        </w:rPr>
        <w:t>,</w:t>
      </w:r>
      <w:r>
        <w:rPr>
          <w:bCs/>
          <w:szCs w:val="20"/>
        </w:rPr>
        <w:t xml:space="preserve"> and </w:t>
      </w:r>
      <w:r w:rsidR="00F558EB">
        <w:rPr>
          <w:bCs/>
          <w:szCs w:val="20"/>
        </w:rPr>
        <w:t>79</w:t>
      </w:r>
      <w:r>
        <w:rPr>
          <w:bCs/>
          <w:szCs w:val="20"/>
        </w:rPr>
        <w:t xml:space="preserve"> and enter the volume in MG on Line </w:t>
      </w:r>
      <w:r w:rsidR="00F558EB">
        <w:rPr>
          <w:bCs/>
          <w:szCs w:val="20"/>
        </w:rPr>
        <w:t>80</w:t>
      </w:r>
      <w:r w:rsidR="0062037C">
        <w:rPr>
          <w:bCs/>
          <w:szCs w:val="20"/>
        </w:rPr>
        <w:t>.</w:t>
      </w:r>
    </w:p>
    <w:p w:rsidR="003F54EE" w:rsidRDefault="003F54EE" w:rsidP="00501CE1">
      <w:pPr>
        <w:pStyle w:val="BodyText"/>
      </w:pPr>
      <w:r w:rsidRPr="00FA6577">
        <w:rPr>
          <w:rStyle w:val="Bold"/>
        </w:rPr>
        <w:t xml:space="preserve">Line </w:t>
      </w:r>
      <w:r w:rsidR="00F558EB" w:rsidRPr="00FA6577">
        <w:rPr>
          <w:rStyle w:val="Bold"/>
        </w:rPr>
        <w:t>81</w:t>
      </w:r>
      <w:r w:rsidRPr="00FA6577">
        <w:rPr>
          <w:rStyle w:val="Bold"/>
        </w:rPr>
        <w:t xml:space="preserve"> – </w:t>
      </w:r>
      <w:r w:rsidR="00F558EB" w:rsidRPr="00FA6577">
        <w:rPr>
          <w:rStyle w:val="Bold"/>
        </w:rPr>
        <w:t>Revised v</w:t>
      </w:r>
      <w:r w:rsidRPr="00FA6577">
        <w:rPr>
          <w:rStyle w:val="Bold"/>
        </w:rPr>
        <w:t xml:space="preserve">olume of combined sewage untreated at WWTP (MG). </w:t>
      </w:r>
      <w:r>
        <w:t xml:space="preserve">This is the </w:t>
      </w:r>
      <w:r w:rsidR="00F558EB">
        <w:t xml:space="preserve">recalculated </w:t>
      </w:r>
      <w:r>
        <w:t xml:space="preserve">CSO volume at the WWTP. </w:t>
      </w:r>
      <w:r w:rsidR="00AB5C8C">
        <w:t>I</w:t>
      </w:r>
      <w:r>
        <w:t xml:space="preserve">f Line </w:t>
      </w:r>
      <w:r w:rsidR="00F558EB">
        <w:t>74</w:t>
      </w:r>
      <w:r>
        <w:t xml:space="preserve"> is greater than Line </w:t>
      </w:r>
      <w:r w:rsidR="00F558EB">
        <w:t>73</w:t>
      </w:r>
      <w:r w:rsidR="00AB5C8C">
        <w:t>,</w:t>
      </w:r>
      <w:r w:rsidR="00AB5C8C" w:rsidRPr="00AB5C8C">
        <w:t xml:space="preserve"> </w:t>
      </w:r>
      <w:r w:rsidR="00AB5C8C">
        <w:t>enter 0.0 on Line 81</w:t>
      </w:r>
      <w:r>
        <w:t xml:space="preserve">. Otherwise, multiply Line </w:t>
      </w:r>
      <w:r w:rsidR="00F558EB">
        <w:t>80</w:t>
      </w:r>
      <w:r>
        <w:t xml:space="preserve"> by Line </w:t>
      </w:r>
      <w:r w:rsidR="00F558EB">
        <w:t>76</w:t>
      </w:r>
      <w:r>
        <w:t xml:space="preserve"> and enter the volume in MG on Line </w:t>
      </w:r>
      <w:r w:rsidR="00F558EB">
        <w:t>81</w:t>
      </w:r>
      <w:r>
        <w:t xml:space="preserve">. </w:t>
      </w:r>
    </w:p>
    <w:p w:rsidR="003F54EE" w:rsidRDefault="003F54EE" w:rsidP="003859D2">
      <w:pPr>
        <w:pStyle w:val="Heading2"/>
      </w:pPr>
      <w:bookmarkStart w:id="175" w:name="_Toc243725267"/>
      <w:bookmarkStart w:id="176" w:name="_Toc243809449"/>
      <w:bookmarkStart w:id="177" w:name="_Toc285015613"/>
      <w:r>
        <w:t>CSO Volume</w:t>
      </w:r>
      <w:r w:rsidR="00F558EB">
        <w:t xml:space="preserve"> Recalculation</w:t>
      </w:r>
      <w:bookmarkEnd w:id="175"/>
      <w:bookmarkEnd w:id="176"/>
      <w:bookmarkEnd w:id="177"/>
    </w:p>
    <w:p w:rsidR="0062037C" w:rsidRDefault="003F54EE" w:rsidP="00501CE1">
      <w:pPr>
        <w:pStyle w:val="BodyText"/>
      </w:pPr>
      <w:r>
        <w:t xml:space="preserve">The </w:t>
      </w:r>
      <w:r w:rsidR="00F558EB">
        <w:t xml:space="preserve">revised </w:t>
      </w:r>
      <w:r>
        <w:t xml:space="preserve">CSO volume that needs to be stored, treated or eliminated is </w:t>
      </w:r>
      <w:r w:rsidR="00F558EB">
        <w:t>recalculated</w:t>
      </w:r>
      <w:r>
        <w:t>. Th</w:t>
      </w:r>
      <w:r w:rsidR="00AB5C8C">
        <w:t>o</w:t>
      </w:r>
      <w:r>
        <w:t>se CSO volumes are identified within individual sub-sewersheds at CSO hydraulic controls, and at the WWTP</w:t>
      </w:r>
      <w:r w:rsidR="0062037C">
        <w:t>.</w:t>
      </w:r>
    </w:p>
    <w:p w:rsidR="003F54EE" w:rsidRDefault="003F54EE" w:rsidP="00501CE1">
      <w:pPr>
        <w:pStyle w:val="BodyText"/>
      </w:pPr>
      <w:r w:rsidRPr="00FA6577">
        <w:rPr>
          <w:rStyle w:val="Bold"/>
        </w:rPr>
        <w:t xml:space="preserve">Line </w:t>
      </w:r>
      <w:r w:rsidR="00F558EB" w:rsidRPr="00FA6577">
        <w:rPr>
          <w:rStyle w:val="Bold"/>
        </w:rPr>
        <w:t>82</w:t>
      </w:r>
      <w:r w:rsidRPr="00FA6577">
        <w:rPr>
          <w:rStyle w:val="Bold"/>
        </w:rPr>
        <w:t xml:space="preserve"> – </w:t>
      </w:r>
      <w:r w:rsidR="003F1D12" w:rsidRPr="00FA6577">
        <w:rPr>
          <w:rStyle w:val="Bold"/>
        </w:rPr>
        <w:t>Revised v</w:t>
      </w:r>
      <w:r w:rsidRPr="00FA6577">
        <w:rPr>
          <w:rStyle w:val="Bold"/>
        </w:rPr>
        <w:t>olume of combined sewage overflows at CSO outfalls (MG).</w:t>
      </w:r>
      <w:r>
        <w:t xml:space="preserve"> This represents the volume of excess combined sewage in MG that is discharged at CSO outfalls. Sum all sub-sewershed volumes in MG on Line </w:t>
      </w:r>
      <w:r w:rsidR="003F1D12">
        <w:t>65</w:t>
      </w:r>
      <w:r>
        <w:t xml:space="preserve"> and enter</w:t>
      </w:r>
      <w:r w:rsidR="00AB5C8C">
        <w:t xml:space="preserve"> the value</w:t>
      </w:r>
      <w:r>
        <w:t xml:space="preserve"> on Line </w:t>
      </w:r>
      <w:r w:rsidR="00F558EB">
        <w:t>82</w:t>
      </w:r>
    </w:p>
    <w:p w:rsidR="003F54EE" w:rsidRPr="007A731B" w:rsidRDefault="003F54EE" w:rsidP="00501CE1">
      <w:pPr>
        <w:pStyle w:val="BodyText"/>
        <w:sectPr w:rsidR="003F54EE" w:rsidRPr="007A731B" w:rsidSect="00A20390">
          <w:endnotePr>
            <w:numFmt w:val="decimal"/>
            <w:numRestart w:val="eachSect"/>
          </w:endnotePr>
          <w:type w:val="continuous"/>
          <w:pgSz w:w="12240" w:h="15840" w:code="1"/>
          <w:pgMar w:top="1440" w:right="1440" w:bottom="1440" w:left="1440" w:header="720" w:footer="720" w:gutter="0"/>
          <w:cols w:num="3" w:space="360"/>
          <w:docGrid w:linePitch="360"/>
        </w:sectPr>
      </w:pPr>
      <w:r w:rsidRPr="00FA6577">
        <w:rPr>
          <w:rStyle w:val="Bold"/>
        </w:rPr>
        <w:t xml:space="preserve">Line </w:t>
      </w:r>
      <w:r w:rsidR="00F558EB" w:rsidRPr="00FA6577">
        <w:rPr>
          <w:rStyle w:val="Bold"/>
        </w:rPr>
        <w:t>83</w:t>
      </w:r>
      <w:r w:rsidRPr="00FA6577">
        <w:rPr>
          <w:rStyle w:val="Bold"/>
        </w:rPr>
        <w:t xml:space="preserve"> – </w:t>
      </w:r>
      <w:r w:rsidR="003F1D12" w:rsidRPr="00FA6577">
        <w:rPr>
          <w:rStyle w:val="Bold"/>
        </w:rPr>
        <w:t>Revised v</w:t>
      </w:r>
      <w:r w:rsidRPr="00FA6577">
        <w:rPr>
          <w:rStyle w:val="Bold"/>
        </w:rPr>
        <w:t>olume of combined sewage overflow at WWTP (MG).</w:t>
      </w:r>
      <w:r>
        <w:t xml:space="preserve"> This represents </w:t>
      </w:r>
      <w:r>
        <w:t xml:space="preserve">the volume of excess combined sewage in MG that is collected and conveyed to the WWTP that does not receive at least primary treatment. Enter the value </w:t>
      </w:r>
      <w:r w:rsidR="003F1D12">
        <w:t>from</w:t>
      </w:r>
      <w:r>
        <w:t xml:space="preserve"> </w:t>
      </w:r>
      <w:r w:rsidR="003F1D12">
        <w:t xml:space="preserve">Line 81 on </w:t>
      </w:r>
      <w:r>
        <w:t>Line</w:t>
      </w:r>
      <w:r w:rsidR="00F558EB">
        <w:t xml:space="preserve"> 83.</w:t>
      </w:r>
    </w:p>
    <w:p w:rsidR="00E17BF3" w:rsidRDefault="00A730EA" w:rsidP="002709A2">
      <w:pPr>
        <w:pStyle w:val="Heading1"/>
        <w:rPr>
          <w:sz w:val="24"/>
        </w:rPr>
      </w:pPr>
      <w:bookmarkStart w:id="178" w:name="_Toc243725268"/>
      <w:bookmarkStart w:id="179" w:name="_Toc243809450"/>
      <w:bookmarkStart w:id="180" w:name="_Toc285015614"/>
      <w:r>
        <w:lastRenderedPageBreak/>
        <w:t xml:space="preserve">Instructions: </w:t>
      </w:r>
      <w:r w:rsidRPr="00B0768E">
        <w:t>Schedule</w:t>
      </w:r>
      <w:r w:rsidR="00E17BF3" w:rsidRPr="00B0768E">
        <w:t xml:space="preserve"> 5</w:t>
      </w:r>
      <w:r w:rsidR="00B0768E" w:rsidRPr="00B0768E">
        <w:t>B</w:t>
      </w:r>
      <w:r w:rsidR="00E17BF3">
        <w:t xml:space="preserve"> – CSO </w:t>
      </w:r>
      <w:r>
        <w:t>Network</w:t>
      </w:r>
      <w:r w:rsidR="00557A2A">
        <w:t xml:space="preserve"> and WWTP </w:t>
      </w:r>
      <w:r>
        <w:t>Control</w:t>
      </w:r>
      <w:r w:rsidR="00BC3590">
        <w:t xml:space="preserve"> (</w:t>
      </w:r>
      <w:r w:rsidR="00BC3590" w:rsidRPr="00574EA8">
        <w:t>Network and WWTP Controls</w:t>
      </w:r>
      <w:r w:rsidR="00BC3590">
        <w:t>)</w:t>
      </w:r>
      <w:bookmarkEnd w:id="178"/>
      <w:bookmarkEnd w:id="179"/>
      <w:bookmarkEnd w:id="180"/>
    </w:p>
    <w:p w:rsidR="00E17BF3" w:rsidRDefault="005523DE" w:rsidP="00501CE1">
      <w:pPr>
        <w:pStyle w:val="BodyText"/>
      </w:pPr>
      <w:r>
        <w:t xml:space="preserve">Schedule 5A focused on controls that reduce runoff </w:t>
      </w:r>
      <w:r w:rsidR="007B3819">
        <w:t>before</w:t>
      </w:r>
      <w:r>
        <w:t xml:space="preserve"> entering the collection system. Schedule 5B focuses on CSO controls within the collection system.</w:t>
      </w:r>
    </w:p>
    <w:p w:rsidR="00E17BF3" w:rsidRDefault="002B55E8" w:rsidP="00501CE1">
      <w:pPr>
        <w:pStyle w:val="BodyText"/>
      </w:pPr>
      <w:r>
        <w:t xml:space="preserve">Three </w:t>
      </w:r>
      <w:r w:rsidR="00E17BF3">
        <w:t xml:space="preserve">general methods for </w:t>
      </w:r>
      <w:r>
        <w:t xml:space="preserve">pipe network </w:t>
      </w:r>
      <w:r w:rsidR="00E17BF3">
        <w:t>CSO control are considered in this schedule. They are</w:t>
      </w:r>
      <w:r w:rsidR="007B3819">
        <w:t xml:space="preserve"> as follows</w:t>
      </w:r>
      <w:r w:rsidR="00E17BF3">
        <w:t>:</w:t>
      </w:r>
    </w:p>
    <w:p w:rsidR="00E17BF3" w:rsidRDefault="00E17BF3" w:rsidP="00A20390">
      <w:pPr>
        <w:pStyle w:val="bullet"/>
      </w:pPr>
      <w:r>
        <w:t>Conveyance and treatment at the WWTP</w:t>
      </w:r>
    </w:p>
    <w:p w:rsidR="00E17BF3" w:rsidRDefault="00E17BF3" w:rsidP="00A20390">
      <w:pPr>
        <w:pStyle w:val="bullet"/>
      </w:pPr>
      <w:r>
        <w:t>Sewer separation</w:t>
      </w:r>
    </w:p>
    <w:p w:rsidR="00E17BF3" w:rsidRDefault="00E17BF3" w:rsidP="00A20390">
      <w:pPr>
        <w:pStyle w:val="bullet"/>
      </w:pPr>
      <w:r>
        <w:t>Off-line storage</w:t>
      </w:r>
    </w:p>
    <w:p w:rsidR="0062037C" w:rsidRDefault="00A90BC8" w:rsidP="00AE7F6D">
      <w:pPr>
        <w:pStyle w:val="BodyText"/>
      </w:pPr>
      <w:r>
        <w:t>P</w:t>
      </w:r>
      <w:r w:rsidR="00E17BF3">
        <w:t xml:space="preserve">ermittees </w:t>
      </w:r>
      <w:r>
        <w:t xml:space="preserve">should </w:t>
      </w:r>
      <w:r w:rsidR="00E17BF3">
        <w:t>evaluate these controls in the order presented. Us</w:t>
      </w:r>
      <w:r w:rsidR="00AB5C8C">
        <w:t>ing</w:t>
      </w:r>
      <w:r w:rsidR="00E17BF3">
        <w:t xml:space="preserve"> more than one CSO control in a</w:t>
      </w:r>
      <w:r w:rsidR="00D55649">
        <w:t>n</w:t>
      </w:r>
      <w:r w:rsidR="00E17BF3">
        <w:t xml:space="preserve"> LTCP is common. Us</w:t>
      </w:r>
      <w:r w:rsidR="00AB5C8C">
        <w:t xml:space="preserve">ing </w:t>
      </w:r>
      <w:r w:rsidR="00E17BF3">
        <w:t>other controls not described herein is valid but would have to be documented separately in a similar effort to what is presented in this schedule</w:t>
      </w:r>
      <w:r w:rsidR="0062037C">
        <w:t>.</w:t>
      </w:r>
    </w:p>
    <w:p w:rsidR="00E17BF3" w:rsidRDefault="00B0768E" w:rsidP="00AE7F6D">
      <w:pPr>
        <w:pStyle w:val="BodyText"/>
      </w:pPr>
      <w:r>
        <w:t xml:space="preserve">Both Schedule 5A and </w:t>
      </w:r>
      <w:r w:rsidR="00E17BF3">
        <w:t>5</w:t>
      </w:r>
      <w:r>
        <w:t>B</w:t>
      </w:r>
      <w:r w:rsidR="00E17BF3">
        <w:t xml:space="preserve"> </w:t>
      </w:r>
      <w:r w:rsidR="00E17BF3" w:rsidRPr="00AB5C8C">
        <w:t xml:space="preserve">– </w:t>
      </w:r>
      <w:r w:rsidR="00E17BF3">
        <w:t xml:space="preserve">CSO CONTROL should be used </w:t>
      </w:r>
      <w:r w:rsidR="007B3819">
        <w:t xml:space="preserve">iteratively </w:t>
      </w:r>
      <w:r w:rsidR="00E17BF3">
        <w:t xml:space="preserve">to identify the most appropriate mix of CSO controls with respect to CSO reduction and cost. </w:t>
      </w:r>
      <w:r w:rsidR="00671B23">
        <w:t xml:space="preserve">For Schedule 5B-CSO </w:t>
      </w:r>
      <w:r w:rsidR="00557A2A">
        <w:t xml:space="preserve">NETWORK AND WWTP </w:t>
      </w:r>
      <w:r w:rsidR="00671B23">
        <w:t>CONTROL, t</w:t>
      </w:r>
      <w:r w:rsidR="00E17BF3">
        <w:t xml:space="preserve">he volumes of combined sewage at CSO outfalls and at the WWTP that need to be controlled (Lines </w:t>
      </w:r>
      <w:r w:rsidR="00671B23">
        <w:t>82 and 83</w:t>
      </w:r>
      <w:r w:rsidR="00E17BF3">
        <w:t xml:space="preserve"> on Schedule </w:t>
      </w:r>
      <w:r w:rsidR="00671B23">
        <w:t xml:space="preserve">5A </w:t>
      </w:r>
      <w:r w:rsidR="00E17BF3" w:rsidRPr="00AB5C8C">
        <w:t>–</w:t>
      </w:r>
      <w:r w:rsidR="00E17BF3" w:rsidRPr="00FA6577">
        <w:rPr>
          <w:rStyle w:val="Bold"/>
        </w:rPr>
        <w:t xml:space="preserve"> </w:t>
      </w:r>
      <w:r w:rsidR="00E17BF3">
        <w:t xml:space="preserve">CSO </w:t>
      </w:r>
      <w:r w:rsidR="00557A2A">
        <w:t xml:space="preserve">RUNOFF </w:t>
      </w:r>
      <w:r w:rsidR="00671B23">
        <w:t>CONTROL</w:t>
      </w:r>
      <w:r w:rsidR="00E17BF3">
        <w:t>) serve as the reduction targets for this schedule.</w:t>
      </w:r>
    </w:p>
    <w:p w:rsidR="00E17BF3" w:rsidRDefault="00E17BF3" w:rsidP="00AB5C8C">
      <w:pPr>
        <w:pStyle w:val="Heading2"/>
        <w:spacing w:after="120"/>
      </w:pPr>
      <w:bookmarkStart w:id="181" w:name="_Toc243725269"/>
      <w:bookmarkStart w:id="182" w:name="_Toc243809451"/>
      <w:bookmarkStart w:id="183" w:name="_Toc285015615"/>
      <w:r>
        <w:t>Conveyance and Treatment at the WWTP</w:t>
      </w:r>
      <w:bookmarkEnd w:id="181"/>
      <w:bookmarkEnd w:id="182"/>
      <w:bookmarkEnd w:id="183"/>
    </w:p>
    <w:p w:rsidR="0062037C" w:rsidRDefault="00E17BF3" w:rsidP="00AE7F6D">
      <w:pPr>
        <w:pStyle w:val="BodyText"/>
      </w:pPr>
      <w:r>
        <w:t>Maximiz</w:t>
      </w:r>
      <w:r w:rsidR="00AB5C8C">
        <w:t>ing</w:t>
      </w:r>
      <w:r>
        <w:t xml:space="preserve"> treatment at the existing WWTP is emphasized in the CSO Control Policy, and it is an important feature of many LTCPs. In some CSO communities</w:t>
      </w:r>
      <w:r w:rsidR="00AB5C8C">
        <w:t>,</w:t>
      </w:r>
      <w:r w:rsidR="00A90BC8">
        <w:t xml:space="preserve"> </w:t>
      </w:r>
      <w:r>
        <w:t xml:space="preserve">combined sewage </w:t>
      </w:r>
      <w:r w:rsidR="00A90BC8">
        <w:t xml:space="preserve">conveyed </w:t>
      </w:r>
      <w:r>
        <w:t>to the WWTP exceeds the primary capacity of the WWTP. The presence of this condition is assessed in Schedule 4</w:t>
      </w:r>
      <w:r w:rsidRPr="00AB5C8C">
        <w:t xml:space="preserve"> – </w:t>
      </w:r>
      <w:r>
        <w:t>CSO VOLUME, and the use of additional storage or treatment capacity at the WWTP is included in this schedule. The schedule is not set up to evaluate the opposite situation, where the WWTP has excess primary treatment capacity. Permittees with th</w:t>
      </w:r>
      <w:r w:rsidR="00AB5C8C">
        <w:t>at</w:t>
      </w:r>
      <w:r>
        <w:t xml:space="preserve"> situation </w:t>
      </w:r>
      <w:r w:rsidR="00AB5C8C">
        <w:t>could</w:t>
      </w:r>
      <w:r>
        <w:t xml:space="preserve"> make use of available primary treatment capacity at the WWTP by adjusting CSO hydraulic controls, increasing interceptor conveyance capacity, or increasing pumping capacity. This analysis </w:t>
      </w:r>
      <w:r w:rsidR="00AB5C8C">
        <w:t>must</w:t>
      </w:r>
      <w:r>
        <w:t xml:space="preserve"> be documented separately and attached to this schedule</w:t>
      </w:r>
      <w:r w:rsidR="0062037C">
        <w:t>.</w:t>
      </w:r>
    </w:p>
    <w:p w:rsidR="0062037C" w:rsidRDefault="00E17BF3" w:rsidP="00AB5C8C">
      <w:pPr>
        <w:pStyle w:val="Heading2"/>
        <w:spacing w:after="120"/>
      </w:pPr>
      <w:bookmarkStart w:id="184" w:name="_Toc127078257"/>
      <w:bookmarkStart w:id="185" w:name="_Toc243725270"/>
      <w:bookmarkStart w:id="186" w:name="_Toc243809452"/>
      <w:bookmarkStart w:id="187" w:name="_Toc285015616"/>
      <w:r>
        <w:t>Sewer Separation</w:t>
      </w:r>
      <w:bookmarkEnd w:id="184"/>
      <w:bookmarkEnd w:id="185"/>
      <w:bookmarkEnd w:id="186"/>
      <w:bookmarkEnd w:id="187"/>
    </w:p>
    <w:p w:rsidR="00E17BF3" w:rsidRDefault="00E17BF3" w:rsidP="00AE7F6D">
      <w:pPr>
        <w:pStyle w:val="BodyText"/>
      </w:pPr>
      <w:bookmarkStart w:id="188" w:name="_Toc127078258"/>
      <w:r>
        <w:t>Sewer separation is the practice of replacing the single pipe system of a CSS with separate pipes for sanitary and stormwater flows. Sewer separation is highly effective and widely used. However, it can be expensive relative to other CSO controls. While sewer separation can be implemented on a broad basis across an entire CSS, it is most often implemented in selective portions of the CSS where localized circumstances make it less disruptive and more economical</w:t>
      </w:r>
      <w:bookmarkEnd w:id="188"/>
      <w:r w:rsidR="0043213D">
        <w:t xml:space="preserve">. </w:t>
      </w:r>
      <w:r w:rsidR="00AB5C8C">
        <w:t>N</w:t>
      </w:r>
      <w:r>
        <w:t>ote that while sewer separation can help to mitigate CSO issues, it can increase the burden on the storm sewer system.</w:t>
      </w:r>
    </w:p>
    <w:p w:rsidR="0062037C" w:rsidRDefault="00E17BF3" w:rsidP="00AB5C8C">
      <w:pPr>
        <w:pStyle w:val="Heading2"/>
        <w:spacing w:after="120"/>
      </w:pPr>
      <w:bookmarkStart w:id="189" w:name="_Toc127078259"/>
      <w:bookmarkStart w:id="190" w:name="_Toc243725271"/>
      <w:bookmarkStart w:id="191" w:name="_Toc243809453"/>
      <w:bookmarkStart w:id="192" w:name="_Toc285015617"/>
      <w:r>
        <w:t>Off-Line Storage</w:t>
      </w:r>
      <w:bookmarkEnd w:id="189"/>
      <w:bookmarkEnd w:id="190"/>
      <w:bookmarkEnd w:id="191"/>
      <w:bookmarkEnd w:id="192"/>
    </w:p>
    <w:p w:rsidR="0062037C" w:rsidRDefault="00E17BF3" w:rsidP="00AE7F6D">
      <w:pPr>
        <w:pStyle w:val="BodyText"/>
      </w:pPr>
      <w:bookmarkStart w:id="193" w:name="_Toc127078260"/>
      <w:r w:rsidRPr="00FA6577">
        <w:rPr>
          <w:rStyle w:val="italic"/>
        </w:rPr>
        <w:t>Off-line storage</w:t>
      </w:r>
      <w:r>
        <w:t xml:space="preserve"> is a phrase used to describe facilities that store combined sewage in added tanks, basins, tunnels or other structures. During dry weather, wastewater is passed around, not through, off-line storage facilities. During wet weather, combined sewage flows are diverted from the CSS to the off-line facility by gravity drainage or with pumps. The stored combined sewage is temporarily detained in the storage facility and returned to the CSS once conveyance and treatment capacity become available</w:t>
      </w:r>
      <w:bookmarkEnd w:id="193"/>
      <w:r w:rsidR="0062037C">
        <w:t>.</w:t>
      </w:r>
    </w:p>
    <w:p w:rsidR="0062037C" w:rsidRDefault="00E17BF3" w:rsidP="00AE7F6D">
      <w:pPr>
        <w:pStyle w:val="BodyText"/>
      </w:pPr>
      <w:r>
        <w:t>Off-line storage facilities can be expensive relative to other CSO controls. Near</w:t>
      </w:r>
      <w:r w:rsidR="00AB5C8C">
        <w:t>-</w:t>
      </w:r>
      <w:r>
        <w:t xml:space="preserve">surface storage facilities probably have the most utility </w:t>
      </w:r>
      <w:r w:rsidR="00D05843">
        <w:t xml:space="preserve">in small communities </w:t>
      </w:r>
      <w:r>
        <w:t xml:space="preserve">because space </w:t>
      </w:r>
      <w:r w:rsidR="00AB5C8C">
        <w:t>could</w:t>
      </w:r>
      <w:r>
        <w:t xml:space="preserve"> be more readily available </w:t>
      </w:r>
      <w:r w:rsidR="00D05843">
        <w:t>than in large cities. D</w:t>
      </w:r>
      <w:r>
        <w:t xml:space="preserve">esign, construction and O&amp;M costs are less </w:t>
      </w:r>
      <w:r w:rsidR="00D05843">
        <w:t>with near</w:t>
      </w:r>
      <w:r w:rsidR="00AB5C8C">
        <w:t>-</w:t>
      </w:r>
      <w:r w:rsidR="00D05843">
        <w:t xml:space="preserve">surface storage </w:t>
      </w:r>
      <w:r>
        <w:t xml:space="preserve">than </w:t>
      </w:r>
      <w:r w:rsidR="00D05843">
        <w:t>with</w:t>
      </w:r>
      <w:r>
        <w:t xml:space="preserve"> deep underground tanks and tunnels</w:t>
      </w:r>
      <w:r w:rsidR="0062037C">
        <w:t>.</w:t>
      </w:r>
    </w:p>
    <w:p w:rsidR="00E17BF3" w:rsidRDefault="00E17BF3" w:rsidP="00AB5C8C">
      <w:pPr>
        <w:pStyle w:val="Heading2"/>
        <w:spacing w:after="120"/>
      </w:pPr>
      <w:bookmarkStart w:id="194" w:name="_Toc243725272"/>
      <w:bookmarkStart w:id="195" w:name="_Toc243809454"/>
      <w:bookmarkStart w:id="196" w:name="_Toc285015618"/>
      <w:r>
        <w:lastRenderedPageBreak/>
        <w:t>Cost of CSO Control</w:t>
      </w:r>
      <w:bookmarkEnd w:id="194"/>
      <w:bookmarkEnd w:id="195"/>
      <w:bookmarkEnd w:id="196"/>
    </w:p>
    <w:p w:rsidR="00E17BF3" w:rsidRDefault="00E17BF3" w:rsidP="00AE7F6D">
      <w:pPr>
        <w:pStyle w:val="BodyText"/>
      </w:pPr>
      <w:bookmarkStart w:id="197" w:name="_Toc127078261"/>
      <w:r>
        <w:t>Generalized cost information for CSO controls is provided. Background information or the derivation of this cost information is in Appendix C. Permittees should realize that CSO control costs are highly variable and dependent on site-specific conditions. Us</w:t>
      </w:r>
      <w:r w:rsidR="003B560E">
        <w:t>ing</w:t>
      </w:r>
      <w:r>
        <w:t xml:space="preserve"> actual or local cost data is always preferable where it is available. Permittees should verify the appropriateness of default cost values where they are used.</w:t>
      </w:r>
      <w:bookmarkEnd w:id="197"/>
      <w:r>
        <w:t xml:space="preserve"> Permittees should also note that cost estimates are for the construction of facilities. Additional operational costs and treatment costs are not expressly included in cost estimates for controls where primary capacity is added or where combined sewage is temporarily stored on-site at the WWTP or off-line and released for treatment following the rainfall event.</w:t>
      </w:r>
      <w:bookmarkStart w:id="198" w:name="_Toc127078262"/>
    </w:p>
    <w:p w:rsidR="00E17BF3" w:rsidRDefault="00E17BF3" w:rsidP="00AB5C8C">
      <w:pPr>
        <w:pStyle w:val="Heading2"/>
        <w:spacing w:after="120"/>
      </w:pPr>
      <w:bookmarkStart w:id="199" w:name="_Toc243725273"/>
      <w:bookmarkStart w:id="200" w:name="_Toc243809455"/>
      <w:bookmarkStart w:id="201" w:name="_Toc285015619"/>
      <w:r>
        <w:t>Summary</w:t>
      </w:r>
      <w:bookmarkEnd w:id="198"/>
      <w:bookmarkEnd w:id="199"/>
      <w:bookmarkEnd w:id="200"/>
      <w:bookmarkEnd w:id="201"/>
    </w:p>
    <w:p w:rsidR="00E17BF3" w:rsidRDefault="00E17BF3" w:rsidP="00AE7F6D">
      <w:pPr>
        <w:pStyle w:val="BodyText"/>
      </w:pPr>
      <w:r>
        <w:t xml:space="preserve">More information </w:t>
      </w:r>
      <w:r w:rsidR="00BA3C41">
        <w:t>is at</w:t>
      </w:r>
      <w:r>
        <w:t xml:space="preserve"> EPA’s CSO control technology description at </w:t>
      </w:r>
      <w:hyperlink r:id="rId59" w:history="1">
        <w:r>
          <w:rPr>
            <w:rStyle w:val="Hyperlink"/>
            <w:color w:val="auto"/>
            <w:szCs w:val="20"/>
          </w:rPr>
          <w:t>http://www.epa.gov/npdes/pubs/csossoRTC2004_AppendixL.pdf</w:t>
        </w:r>
      </w:hyperlink>
      <w:r w:rsidR="00396CA3" w:rsidRPr="00396CA3">
        <w:t>.</w:t>
      </w:r>
    </w:p>
    <w:p w:rsidR="00AF4904" w:rsidRPr="00396CA3" w:rsidRDefault="00AF4904" w:rsidP="00AE7F6D">
      <w:pPr>
        <w:pStyle w:val="BodyText"/>
      </w:pPr>
    </w:p>
    <w:p w:rsidR="00E17BF3" w:rsidRDefault="00E17BF3" w:rsidP="003859D2">
      <w:pPr>
        <w:pStyle w:val="Heading2"/>
        <w:sectPr w:rsidR="00E17BF3" w:rsidSect="00A20390">
          <w:headerReference w:type="even" r:id="rId60"/>
          <w:headerReference w:type="default" r:id="rId61"/>
          <w:footerReference w:type="even" r:id="rId62"/>
          <w:footerReference w:type="default" r:id="rId63"/>
          <w:endnotePr>
            <w:numFmt w:val="decimal"/>
            <w:numRestart w:val="eachSect"/>
          </w:endnotePr>
          <w:pgSz w:w="12240" w:h="15840" w:code="1"/>
          <w:pgMar w:top="1440" w:right="1440" w:bottom="1440" w:left="1440" w:header="720" w:footer="720" w:gutter="0"/>
          <w:cols w:space="720"/>
          <w:docGrid w:linePitch="360"/>
        </w:sectPr>
      </w:pPr>
      <w:bookmarkStart w:id="202" w:name="_Toc127078264"/>
    </w:p>
    <w:p w:rsidR="00E17BF3" w:rsidRPr="00F86DDA" w:rsidRDefault="00E17BF3" w:rsidP="00F86DDA">
      <w:pPr>
        <w:pStyle w:val="Heading2"/>
      </w:pPr>
      <w:r>
        <w:rPr>
          <w:szCs w:val="20"/>
        </w:rPr>
        <w:br w:type="page"/>
      </w:r>
      <w:bookmarkStart w:id="203" w:name="_Toc243725274"/>
      <w:bookmarkStart w:id="204" w:name="_Toc243809456"/>
      <w:bookmarkStart w:id="205" w:name="_Toc285015620"/>
      <w:r w:rsidRPr="00F86DDA">
        <w:lastRenderedPageBreak/>
        <w:t xml:space="preserve">Conveyance and Treatment </w:t>
      </w:r>
      <w:bookmarkEnd w:id="202"/>
      <w:r w:rsidRPr="00F86DDA">
        <w:t>at the WWTP</w:t>
      </w:r>
      <w:bookmarkEnd w:id="203"/>
      <w:bookmarkEnd w:id="204"/>
      <w:bookmarkEnd w:id="205"/>
    </w:p>
    <w:p w:rsidR="0062037C" w:rsidRDefault="00E17BF3" w:rsidP="00AE7F6D">
      <w:pPr>
        <w:pStyle w:val="BodyText"/>
      </w:pPr>
      <w:r>
        <w:t xml:space="preserve">This section of Schedule 5 – CSO CONTROL considers conveyance and treatment of combined sewage at the WWTP. Additional treatment or storage can be added at the WWTP if the </w:t>
      </w:r>
      <w:r w:rsidR="00C07172">
        <w:t xml:space="preserve">volume of combined flow </w:t>
      </w:r>
      <w:r>
        <w:t>to the WWTP exceeds primary capacity. Conversely, excess primary capacity at the WWTP provides an opportunity to maximize flow of combined sewage to the WWTP for treatment</w:t>
      </w:r>
      <w:r w:rsidR="0062037C">
        <w:t>.</w:t>
      </w:r>
    </w:p>
    <w:p w:rsidR="00E17BF3" w:rsidRDefault="003B560E" w:rsidP="00AE7F6D">
      <w:pPr>
        <w:pStyle w:val="BodyText"/>
      </w:pPr>
      <w:r>
        <w:t>I</w:t>
      </w:r>
      <w:r w:rsidR="00E17BF3">
        <w:t>f you are not evaluating control alternatives at the WWTP</w:t>
      </w:r>
      <w:r>
        <w:t>,</w:t>
      </w:r>
      <w:r w:rsidRPr="003B560E">
        <w:t xml:space="preserve"> </w:t>
      </w:r>
      <w:r w:rsidRPr="00AE7F6D">
        <w:t>s</w:t>
      </w:r>
      <w:r>
        <w:t>kip to Line 10</w:t>
      </w:r>
      <w:r w:rsidR="00E17BF3">
        <w:t>.</w:t>
      </w:r>
    </w:p>
    <w:p w:rsidR="00E17BF3" w:rsidRDefault="00E17BF3" w:rsidP="00AE7F6D">
      <w:pPr>
        <w:pStyle w:val="BodyText"/>
      </w:pPr>
      <w:r w:rsidRPr="00FA6577">
        <w:rPr>
          <w:rStyle w:val="Bold"/>
        </w:rPr>
        <w:t>Line 1 – Peak rate of sewage conveyed to WWTP (MGD).</w:t>
      </w:r>
      <w:r>
        <w:t xml:space="preserve"> Enter the peak rate of sewage conveyed to the WWTP in MGD on Line 1 (</w:t>
      </w:r>
      <w:r w:rsidR="007C7009">
        <w:t xml:space="preserve">If Schedule 5A-CSO </w:t>
      </w:r>
      <w:r w:rsidR="00557A2A">
        <w:t xml:space="preserve">RUNOFF </w:t>
      </w:r>
      <w:r w:rsidR="007C7009">
        <w:t xml:space="preserve">CONTROL has been completed, use Line 73 on Schedule 5A-CSO </w:t>
      </w:r>
      <w:r w:rsidR="00557A2A">
        <w:t xml:space="preserve">RUNOFF </w:t>
      </w:r>
      <w:r w:rsidR="007C7009">
        <w:t>CONTROL</w:t>
      </w:r>
      <w:r w:rsidR="0043213D">
        <w:t xml:space="preserve">. </w:t>
      </w:r>
      <w:r w:rsidR="007C7009">
        <w:t xml:space="preserve">Otherwise use </w:t>
      </w:r>
      <w:r>
        <w:t xml:space="preserve">Line 24 </w:t>
      </w:r>
      <w:r w:rsidR="007C7009">
        <w:t xml:space="preserve">on </w:t>
      </w:r>
      <w:r>
        <w:t>Schedule 4</w:t>
      </w:r>
      <w:r w:rsidRPr="003B560E">
        <w:t xml:space="preserve"> – </w:t>
      </w:r>
      <w:r>
        <w:t>CSO VOLUME. If you are using the electronic version of the form, this value will have been filled in automatically).</w:t>
      </w:r>
    </w:p>
    <w:p w:rsidR="00E17BF3" w:rsidRDefault="00E17BF3" w:rsidP="00AE7F6D">
      <w:pPr>
        <w:pStyle w:val="BodyText"/>
      </w:pPr>
      <w:r w:rsidRPr="00FA6577">
        <w:rPr>
          <w:rStyle w:val="Bold"/>
        </w:rPr>
        <w:t>Line 2 – Primary treatment capacity (MGD).</w:t>
      </w:r>
      <w:r>
        <w:t xml:space="preserve"> Enter the primary treatment capacity in MGD on Line 2 (Line 25 of Schedule 4</w:t>
      </w:r>
      <w:r w:rsidRPr="003B560E">
        <w:t xml:space="preserve"> – </w:t>
      </w:r>
      <w:r>
        <w:t>CSO VOLUME. If you are using the electronic version of the form, this value will have been filled in automatically)</w:t>
      </w:r>
      <w:r>
        <w:rPr>
          <w:bCs/>
        </w:rPr>
        <w:t>.</w:t>
      </w:r>
    </w:p>
    <w:p w:rsidR="0062037C" w:rsidRDefault="00E17BF3" w:rsidP="00AE7F6D">
      <w:pPr>
        <w:pStyle w:val="BodyText"/>
      </w:pPr>
      <w:r w:rsidRPr="00FA6577">
        <w:rPr>
          <w:rStyle w:val="Bold"/>
        </w:rPr>
        <w:t>Line 3 – Difference between primary treatment capacity and peak rate of sewage conveyed to WWTP (MGD).</w:t>
      </w:r>
      <w:r>
        <w:t xml:space="preserve"> Enter the combined sewage untreated at the WWTP in MGD (Line 32 on Schedule 4</w:t>
      </w:r>
      <w:r w:rsidRPr="003B560E">
        <w:t xml:space="preserve"> – </w:t>
      </w:r>
      <w:r>
        <w:t xml:space="preserve">CSO VOLUME. If you are using the electronic version of the form, </w:t>
      </w:r>
      <w:r>
        <w:t>this value will have been filled in automatically)</w:t>
      </w:r>
      <w:r w:rsidR="0062037C">
        <w:t>.</w:t>
      </w:r>
    </w:p>
    <w:p w:rsidR="00E17BF3" w:rsidRDefault="00E17BF3" w:rsidP="00AE7F6D">
      <w:pPr>
        <w:pStyle w:val="BodyText"/>
      </w:pPr>
      <w:r>
        <w:t>Untreated combined sewage at the WWTP can be controlled by adding additional treatment capacity (Line 4) or by adding storage (Line 7) to allow collected combined sewage to be retained temporarily until treatment capacity becomes available following the rainfall event. Permittees can estimate costs for both options and determine which is most appropriate for their facility.</w:t>
      </w:r>
    </w:p>
    <w:p w:rsidR="00E17BF3" w:rsidRDefault="00E17BF3" w:rsidP="00AE7F6D">
      <w:pPr>
        <w:pStyle w:val="BodyText"/>
      </w:pPr>
      <w:r w:rsidRPr="00FA6577">
        <w:rPr>
          <w:rStyle w:val="Bold"/>
        </w:rPr>
        <w:t>Note</w:t>
      </w:r>
      <w:r>
        <w:t xml:space="preserve">: If Line 2 is greater than Line 1, the difference represents primary treatment capacity that </w:t>
      </w:r>
      <w:r w:rsidR="003B560E">
        <w:t xml:space="preserve">could </w:t>
      </w:r>
      <w:r>
        <w:t>be available for treatment of combined sewage. Maximiz</w:t>
      </w:r>
      <w:r w:rsidR="003B560E">
        <w:t>ing</w:t>
      </w:r>
      <w:r>
        <w:t xml:space="preserve"> flow to the WWTP should be pursued under </w:t>
      </w:r>
      <w:r w:rsidR="003B560E">
        <w:t xml:space="preserve">such </w:t>
      </w:r>
      <w:r>
        <w:t xml:space="preserve">circumstances. This could be done iteratively in Schedule </w:t>
      </w:r>
      <w:r w:rsidRPr="003B560E">
        <w:t>4 –</w:t>
      </w:r>
      <w:r w:rsidRPr="00FA6577">
        <w:rPr>
          <w:rStyle w:val="Bold"/>
        </w:rPr>
        <w:t xml:space="preserve"> </w:t>
      </w:r>
      <w:r>
        <w:t xml:space="preserve">CSO VOLUME by adjusting hydraulic control capacities or assessed in worksheets to supplement the </w:t>
      </w:r>
      <w:r w:rsidR="005939DE">
        <w:t xml:space="preserve">Green </w:t>
      </w:r>
      <w:r>
        <w:t>LTCP-EZ Template.</w:t>
      </w:r>
    </w:p>
    <w:p w:rsidR="0062037C" w:rsidRDefault="00E17BF3" w:rsidP="00AE7F6D">
      <w:pPr>
        <w:pStyle w:val="BodyText"/>
      </w:pPr>
      <w:r w:rsidRPr="00FA6577">
        <w:rPr>
          <w:rStyle w:val="Bold"/>
        </w:rPr>
        <w:t xml:space="preserve">Line 4 – Additional primary treatment capacity required (MGD). </w:t>
      </w:r>
      <w:r>
        <w:t>Additional primary</w:t>
      </w:r>
      <w:r w:rsidRPr="00FA6577">
        <w:rPr>
          <w:rStyle w:val="Bold"/>
        </w:rPr>
        <w:t xml:space="preserve"> </w:t>
      </w:r>
      <w:r>
        <w:t xml:space="preserve">treatment capacity </w:t>
      </w:r>
      <w:r w:rsidR="003B560E">
        <w:t xml:space="preserve">can </w:t>
      </w:r>
      <w:r>
        <w:t xml:space="preserve">be added to the system to treat the combined flows that reach the WWTP during wet weather. Line 3 represents the minimal additional primary treatment capacity that will be required to treat the flows. Permittees </w:t>
      </w:r>
      <w:r w:rsidR="003B560E">
        <w:t>can</w:t>
      </w:r>
      <w:r>
        <w:t xml:space="preserve"> either enter the value from Line 3 on Line 4 or enter a larger number if they want to increase primary treatment capacity even further</w:t>
      </w:r>
      <w:r w:rsidR="0062037C">
        <w:t>.</w:t>
      </w:r>
    </w:p>
    <w:p w:rsidR="0062037C" w:rsidRDefault="00E17BF3" w:rsidP="00AE7F6D">
      <w:pPr>
        <w:pStyle w:val="BodyText"/>
      </w:pPr>
      <w:r w:rsidRPr="00FA6577">
        <w:rPr>
          <w:rStyle w:val="Bold"/>
        </w:rPr>
        <w:t xml:space="preserve">Line 5 – Unit cost of primary treatment per MGD. </w:t>
      </w:r>
      <w:r>
        <w:t>The unit cost of primary treatment varies greatly. Enter a cost that reflects local site-specific condit</w:t>
      </w:r>
      <w:r w:rsidRPr="00AE7F6D">
        <w:t>i</w:t>
      </w:r>
      <w:r>
        <w:t>ons, or use the default value of $2,000,000 per MGD</w:t>
      </w:r>
      <w:r w:rsidR="0062037C">
        <w:t>.</w:t>
      </w:r>
    </w:p>
    <w:p w:rsidR="00E17BF3" w:rsidRDefault="00E17BF3" w:rsidP="00AE7F6D">
      <w:pPr>
        <w:pStyle w:val="BodyText"/>
      </w:pPr>
      <w:r w:rsidRPr="00FA6577">
        <w:rPr>
          <w:rStyle w:val="Bold"/>
        </w:rPr>
        <w:t>Line 6 – Estimated cost of new primary treatment capacity at WWTP.</w:t>
      </w:r>
      <w:r>
        <w:t xml:space="preserve"> Multiply the unit cost on Line 5 by the additional capacity required on Line 4.</w:t>
      </w:r>
    </w:p>
    <w:p w:rsidR="0062037C" w:rsidRDefault="00E17BF3" w:rsidP="00AE7F6D">
      <w:pPr>
        <w:pStyle w:val="BodyText"/>
        <w:rPr>
          <w:bCs/>
        </w:rPr>
      </w:pPr>
      <w:r w:rsidRPr="00FA6577">
        <w:rPr>
          <w:rStyle w:val="Bold"/>
        </w:rPr>
        <w:t xml:space="preserve">Line 7 – Volume of storage required at WWTP (MG). </w:t>
      </w:r>
      <w:r>
        <w:t>The volume of storage required is determined by converting the flow rate in MGD on Line 3 to a volume in MG</w:t>
      </w:r>
      <w:r>
        <w:rPr>
          <w:bCs/>
        </w:rPr>
        <w:t xml:space="preserve"> by multiplying Line 3 by 24 hours</w:t>
      </w:r>
      <w:r w:rsidR="0043213D">
        <w:rPr>
          <w:bCs/>
        </w:rPr>
        <w:t xml:space="preserve">. </w:t>
      </w:r>
      <w:r>
        <w:rPr>
          <w:bCs/>
        </w:rPr>
        <w:t>Enter this value on Line 7</w:t>
      </w:r>
      <w:r w:rsidR="0062037C">
        <w:rPr>
          <w:bCs/>
        </w:rPr>
        <w:t>.</w:t>
      </w:r>
    </w:p>
    <w:p w:rsidR="0062037C" w:rsidRDefault="00E17BF3" w:rsidP="00AE7F6D">
      <w:pPr>
        <w:pStyle w:val="BodyText"/>
      </w:pPr>
      <w:r w:rsidRPr="00FA6577">
        <w:rPr>
          <w:rStyle w:val="Bold"/>
        </w:rPr>
        <w:t xml:space="preserve">Line 8 – Unit cost of additional storage at WWTP. </w:t>
      </w:r>
      <w:r>
        <w:t>The unit cost of storage varies greatly. Enter a cost that reflects local site-specific conditions, or use the default value of $1,000,000 per MG</w:t>
      </w:r>
      <w:r w:rsidR="0062037C">
        <w:t>.</w:t>
      </w:r>
    </w:p>
    <w:p w:rsidR="0062037C" w:rsidRDefault="00E17BF3" w:rsidP="00AE7F6D">
      <w:pPr>
        <w:pStyle w:val="BodyText"/>
      </w:pPr>
      <w:r w:rsidRPr="00FA6577">
        <w:rPr>
          <w:rStyle w:val="Bold"/>
        </w:rPr>
        <w:t xml:space="preserve">Line 9 – Estimated cost for storage at WWTP. </w:t>
      </w:r>
      <w:r>
        <w:t>Multiply the additional storage volume required on Line 7 by the unit cost on Line 8</w:t>
      </w:r>
      <w:r w:rsidR="0062037C">
        <w:t>.</w:t>
      </w:r>
    </w:p>
    <w:p w:rsidR="00E17BF3" w:rsidRDefault="00E17BF3" w:rsidP="00AE7F6D">
      <w:pPr>
        <w:pStyle w:val="Heading2"/>
      </w:pPr>
      <w:bookmarkStart w:id="206" w:name="_Toc127078266"/>
      <w:bookmarkStart w:id="207" w:name="_Toc243725275"/>
      <w:bookmarkStart w:id="208" w:name="_Toc243809457"/>
      <w:bookmarkStart w:id="209" w:name="_Toc285015621"/>
      <w:r>
        <w:t>Sewer Separation</w:t>
      </w:r>
      <w:bookmarkEnd w:id="206"/>
      <w:bookmarkEnd w:id="207"/>
      <w:bookmarkEnd w:id="208"/>
      <w:bookmarkEnd w:id="209"/>
    </w:p>
    <w:p w:rsidR="00E17BF3" w:rsidRDefault="00E17BF3" w:rsidP="00AE7F6D">
      <w:pPr>
        <w:pStyle w:val="BodyText"/>
      </w:pPr>
      <w:r>
        <w:t>Sewer separation is the practice of separating the single pipe system of a CSS into separate pipe systems for sanitary and stormwater flows. Sewer separation is widely used as a CSO control. It is often applied opportunistically in small subareas to minimize disruption. Some small communities also invest in sewer separation on a system-wide basis.</w:t>
      </w:r>
    </w:p>
    <w:p w:rsidR="001E7249" w:rsidRDefault="001E7249" w:rsidP="00AE7F6D">
      <w:pPr>
        <w:pStyle w:val="BodyText"/>
      </w:pPr>
      <w:r w:rsidRPr="00FA6577">
        <w:rPr>
          <w:rStyle w:val="Bold"/>
        </w:rPr>
        <w:t xml:space="preserve">Line 10 – 24-hour design rainfall (inches). </w:t>
      </w:r>
      <w:r>
        <w:t>Enter the 24-hour design rainfall in inches on Line 10 (Line 12 on Schedule 4</w:t>
      </w:r>
      <w:r w:rsidR="003B560E">
        <w:t xml:space="preserve"> – </w:t>
      </w:r>
      <w:r>
        <w:t>CSO VOLUME. If you are using the electronic version of the form, this value will have been filled in automatically).</w:t>
      </w:r>
    </w:p>
    <w:p w:rsidR="00E17BF3" w:rsidRDefault="00E17BF3" w:rsidP="00AE7F6D">
      <w:pPr>
        <w:pStyle w:val="BodyText"/>
      </w:pPr>
      <w:r w:rsidRPr="00FA6577">
        <w:rPr>
          <w:rStyle w:val="Bold"/>
        </w:rPr>
        <w:t xml:space="preserve">Line </w:t>
      </w:r>
      <w:bookmarkStart w:id="210" w:name="OLE_LINK11"/>
      <w:bookmarkStart w:id="211" w:name="OLE_LINK12"/>
      <w:r w:rsidR="001E7249" w:rsidRPr="00FA6577">
        <w:rPr>
          <w:rStyle w:val="Bold"/>
        </w:rPr>
        <w:t xml:space="preserve">11 </w:t>
      </w:r>
      <w:r w:rsidRPr="00FA6577">
        <w:rPr>
          <w:rStyle w:val="Bold"/>
        </w:rPr>
        <w:t xml:space="preserve">– </w:t>
      </w:r>
      <w:bookmarkEnd w:id="210"/>
      <w:bookmarkEnd w:id="211"/>
      <w:r w:rsidRPr="00FA6577">
        <w:rPr>
          <w:rStyle w:val="Bold"/>
        </w:rPr>
        <w:t>Sub-sewershed area to be separated (acres).</w:t>
      </w:r>
      <w:r>
        <w:t xml:space="preserve"> Enter the area to be separated in each sub-sewershed.</w:t>
      </w:r>
    </w:p>
    <w:p w:rsidR="00E17BF3" w:rsidRDefault="00E17BF3" w:rsidP="00AE7F6D">
      <w:pPr>
        <w:pStyle w:val="BodyText"/>
      </w:pPr>
      <w:r w:rsidRPr="00FA6577">
        <w:rPr>
          <w:rStyle w:val="Bold"/>
        </w:rPr>
        <w:lastRenderedPageBreak/>
        <w:t xml:space="preserve">Line </w:t>
      </w:r>
      <w:r w:rsidR="001E7249" w:rsidRPr="00FA6577">
        <w:rPr>
          <w:rStyle w:val="Bold"/>
        </w:rPr>
        <w:t xml:space="preserve">12 </w:t>
      </w:r>
      <w:r w:rsidRPr="00FA6577">
        <w:rPr>
          <w:rStyle w:val="Bold"/>
        </w:rPr>
        <w:t>– Runoff coefficient of area to be separated.</w:t>
      </w:r>
      <w:r>
        <w:t xml:space="preserve"> Enter the runoff coefficient entered on Line 3 on Schedule 4</w:t>
      </w:r>
      <w:r w:rsidRPr="003B560E">
        <w:t xml:space="preserve"> –</w:t>
      </w:r>
      <w:r w:rsidRPr="00FA6577">
        <w:rPr>
          <w:rStyle w:val="Bold"/>
        </w:rPr>
        <w:t xml:space="preserve"> </w:t>
      </w:r>
      <w:r>
        <w:t>CSO VOLUME.</w:t>
      </w:r>
    </w:p>
    <w:p w:rsidR="00E17BF3" w:rsidRDefault="00E17BF3" w:rsidP="00AE7F6D">
      <w:pPr>
        <w:pStyle w:val="BodyText"/>
      </w:pPr>
      <w:r w:rsidRPr="00FA6577">
        <w:rPr>
          <w:rStyle w:val="Bold"/>
        </w:rPr>
        <w:t xml:space="preserve">Line </w:t>
      </w:r>
      <w:r w:rsidR="001E7249" w:rsidRPr="00FA6577">
        <w:rPr>
          <w:rStyle w:val="Bold"/>
        </w:rPr>
        <w:t xml:space="preserve">13 </w:t>
      </w:r>
      <w:r w:rsidRPr="00FA6577">
        <w:rPr>
          <w:rStyle w:val="Bold"/>
        </w:rPr>
        <w:t xml:space="preserve">– Runoff to CSS eliminated due to sewer separation (Gal.). </w:t>
      </w:r>
      <w:r>
        <w:t xml:space="preserve">Multiply Lines 10, </w:t>
      </w:r>
      <w:r w:rsidR="00FC46FF">
        <w:t>11</w:t>
      </w:r>
      <w:r w:rsidR="003B560E">
        <w:t>,</w:t>
      </w:r>
      <w:r w:rsidR="00FC46FF">
        <w:t xml:space="preserve"> </w:t>
      </w:r>
      <w:r>
        <w:t xml:space="preserve">and </w:t>
      </w:r>
      <w:r w:rsidR="00FC46FF">
        <w:t>12</w:t>
      </w:r>
      <w:r>
        <w:t>. Multiply the product by 27,156 to convert to gallons.</w:t>
      </w:r>
    </w:p>
    <w:p w:rsidR="00E17BF3" w:rsidRDefault="00E17BF3" w:rsidP="00AE7F6D">
      <w:pPr>
        <w:pStyle w:val="BodyText"/>
      </w:pPr>
      <w:r w:rsidRPr="00FA6577">
        <w:rPr>
          <w:rStyle w:val="Bold"/>
        </w:rPr>
        <w:t xml:space="preserve">Line </w:t>
      </w:r>
      <w:r w:rsidR="001E7249" w:rsidRPr="00FA6577">
        <w:rPr>
          <w:rStyle w:val="Bold"/>
        </w:rPr>
        <w:t xml:space="preserve">14 </w:t>
      </w:r>
      <w:r w:rsidRPr="00FA6577">
        <w:rPr>
          <w:rStyle w:val="Bold"/>
        </w:rPr>
        <w:t>– Volume reduction (MG).</w:t>
      </w:r>
      <w:r>
        <w:t xml:space="preserve"> Enter the volume reduction achieved through sewer separation. Divide Line </w:t>
      </w:r>
      <w:r w:rsidR="00FC46FF">
        <w:t xml:space="preserve">13 </w:t>
      </w:r>
      <w:r>
        <w:t>by one million.</w:t>
      </w:r>
    </w:p>
    <w:p w:rsidR="00E17BF3" w:rsidRDefault="00E17BF3" w:rsidP="00AE7F6D">
      <w:pPr>
        <w:pStyle w:val="BodyText"/>
      </w:pPr>
      <w:r w:rsidRPr="00FA6577">
        <w:rPr>
          <w:rStyle w:val="Bold"/>
        </w:rPr>
        <w:t xml:space="preserve">Line </w:t>
      </w:r>
      <w:r w:rsidR="001E7249" w:rsidRPr="00FA6577">
        <w:rPr>
          <w:rStyle w:val="Bold"/>
        </w:rPr>
        <w:t xml:space="preserve">15 </w:t>
      </w:r>
      <w:r w:rsidRPr="00FA6577">
        <w:rPr>
          <w:rStyle w:val="Bold"/>
        </w:rPr>
        <w:t>– Unit cost of sewer separation per acre.</w:t>
      </w:r>
      <w:r>
        <w:t xml:space="preserve"> The unit cost of sewer separation is highly variable. Estimates range from less than $10,000 to </w:t>
      </w:r>
      <w:r w:rsidR="003B560E">
        <w:t xml:space="preserve">more than </w:t>
      </w:r>
      <w:r>
        <w:t>$200,000 per acre. Enter a cost that reflects local site-specific conditions</w:t>
      </w:r>
      <w:r w:rsidR="00C07172">
        <w:t xml:space="preserve">. </w:t>
      </w:r>
    </w:p>
    <w:p w:rsidR="00E17BF3" w:rsidRDefault="00E17BF3" w:rsidP="00AE7F6D">
      <w:pPr>
        <w:pStyle w:val="BodyText"/>
      </w:pPr>
      <w:r w:rsidRPr="00FA6577">
        <w:rPr>
          <w:rStyle w:val="Bold"/>
        </w:rPr>
        <w:t xml:space="preserve">Line </w:t>
      </w:r>
      <w:r w:rsidR="001E7249" w:rsidRPr="00FA6577">
        <w:rPr>
          <w:rStyle w:val="Bold"/>
        </w:rPr>
        <w:t xml:space="preserve">16 </w:t>
      </w:r>
      <w:r w:rsidRPr="00FA6577">
        <w:rPr>
          <w:rStyle w:val="Bold"/>
        </w:rPr>
        <w:t>– Estimated cost of sewer separation.</w:t>
      </w:r>
      <w:r>
        <w:t xml:space="preserve"> Multiply the number of acres to be separated on Line </w:t>
      </w:r>
      <w:r w:rsidR="00FC46FF">
        <w:t xml:space="preserve">11 </w:t>
      </w:r>
      <w:r>
        <w:t xml:space="preserve">by the unit cost on Line </w:t>
      </w:r>
      <w:r w:rsidR="00FC46FF">
        <w:t xml:space="preserve">15 </w:t>
      </w:r>
      <w:r>
        <w:t xml:space="preserve">and enter on Line </w:t>
      </w:r>
      <w:r w:rsidR="00FC46FF">
        <w:t>16</w:t>
      </w:r>
      <w:r>
        <w:t>.</w:t>
      </w:r>
    </w:p>
    <w:p w:rsidR="00E17BF3" w:rsidRDefault="00E17BF3" w:rsidP="00AE7F6D">
      <w:pPr>
        <w:pStyle w:val="Heading2"/>
      </w:pPr>
      <w:bookmarkStart w:id="212" w:name="_Toc127078268"/>
      <w:bookmarkStart w:id="213" w:name="_Toc243725276"/>
      <w:bookmarkStart w:id="214" w:name="_Toc243809458"/>
      <w:bookmarkStart w:id="215" w:name="_Toc285015622"/>
      <w:r>
        <w:t>Off-Line Storage</w:t>
      </w:r>
      <w:bookmarkEnd w:id="212"/>
      <w:bookmarkEnd w:id="213"/>
      <w:bookmarkEnd w:id="214"/>
      <w:bookmarkEnd w:id="215"/>
    </w:p>
    <w:p w:rsidR="0062037C" w:rsidRDefault="00E17BF3" w:rsidP="00AE7F6D">
      <w:pPr>
        <w:pStyle w:val="BodyText"/>
      </w:pPr>
      <w:r>
        <w:t xml:space="preserve">The use of storage facilities to store and attenuate peak combined sewage flows is widely used as a CSO control. </w:t>
      </w:r>
      <w:r w:rsidRPr="004D23B9">
        <w:rPr>
          <w:rStyle w:val="italic"/>
        </w:rPr>
        <w:t>Off-line storage</w:t>
      </w:r>
      <w:r>
        <w:t xml:space="preserve"> is the term used to describe facilities that store excess combined sewage in tanks, basins, tunnels, or other structures adjacent to the CSS</w:t>
      </w:r>
      <w:r w:rsidR="0062037C">
        <w:t>.</w:t>
      </w:r>
    </w:p>
    <w:p w:rsidR="00E17BF3" w:rsidRDefault="00E17BF3" w:rsidP="00AE7F6D">
      <w:pPr>
        <w:pStyle w:val="BodyText"/>
      </w:pPr>
      <w:r w:rsidRPr="00FA6577">
        <w:rPr>
          <w:rStyle w:val="Bold"/>
        </w:rPr>
        <w:t xml:space="preserve">Line </w:t>
      </w:r>
      <w:r w:rsidR="00FC46FF" w:rsidRPr="00FA6577">
        <w:rPr>
          <w:rStyle w:val="Bold"/>
        </w:rPr>
        <w:t xml:space="preserve">17 </w:t>
      </w:r>
      <w:r w:rsidRPr="00FA6577">
        <w:rPr>
          <w:rStyle w:val="Bold"/>
        </w:rPr>
        <w:t xml:space="preserve">– Volume reduction to be achieved with storage (MG). </w:t>
      </w:r>
      <w:r>
        <w:t xml:space="preserve">Enter the proposed volume of storage in each sub-sewershed. </w:t>
      </w:r>
      <w:r w:rsidRPr="00B91F0C">
        <w:t xml:space="preserve">This can be established as the </w:t>
      </w:r>
      <w:r w:rsidR="00B91F0C">
        <w:t>revised</w:t>
      </w:r>
      <w:r w:rsidR="00B91F0C" w:rsidRPr="00B91F0C">
        <w:t xml:space="preserve"> </w:t>
      </w:r>
      <w:r w:rsidRPr="00B91F0C">
        <w:t xml:space="preserve">volume of excess combined sewage at individual CSO hydraulic controls (Line </w:t>
      </w:r>
      <w:r w:rsidR="00B91F0C">
        <w:t>65</w:t>
      </w:r>
      <w:r w:rsidR="00B91F0C" w:rsidRPr="00B91F0C">
        <w:t xml:space="preserve"> </w:t>
      </w:r>
      <w:r w:rsidRPr="00B91F0C">
        <w:t xml:space="preserve">on Schedule </w:t>
      </w:r>
      <w:r w:rsidR="00B91F0C">
        <w:t>5A</w:t>
      </w:r>
      <w:r w:rsidR="00B91F0C" w:rsidRPr="00B91F0C">
        <w:t xml:space="preserve"> </w:t>
      </w:r>
      <w:r w:rsidRPr="00B91F0C">
        <w:rPr>
          <w:bCs/>
        </w:rPr>
        <w:t>–</w:t>
      </w:r>
      <w:r w:rsidRPr="00FA6577">
        <w:rPr>
          <w:rStyle w:val="Bold"/>
        </w:rPr>
        <w:t xml:space="preserve"> </w:t>
      </w:r>
      <w:r w:rsidRPr="00706250">
        <w:t>CSO VOLUME)</w:t>
      </w:r>
      <w:r w:rsidRPr="00B91F0C">
        <w:t xml:space="preserve"> minus reductions achieved through sewer separation.</w:t>
      </w:r>
    </w:p>
    <w:p w:rsidR="00E17BF3" w:rsidRDefault="00E17BF3" w:rsidP="00AE7F6D">
      <w:pPr>
        <w:pStyle w:val="BodyText"/>
      </w:pPr>
      <w:r w:rsidRPr="00FA6577">
        <w:rPr>
          <w:rStyle w:val="Bold"/>
        </w:rPr>
        <w:t xml:space="preserve">Line </w:t>
      </w:r>
      <w:r w:rsidR="00FC46FF" w:rsidRPr="00FA6577">
        <w:rPr>
          <w:rStyle w:val="Bold"/>
        </w:rPr>
        <w:t xml:space="preserve">18 </w:t>
      </w:r>
      <w:r w:rsidRPr="00FA6577">
        <w:rPr>
          <w:rStyle w:val="Bold"/>
        </w:rPr>
        <w:t>– Unit cost per MG of storage.</w:t>
      </w:r>
      <w:r>
        <w:t xml:space="preserve"> The unit cost of off-line storage is highly variable and ranges from less than $100,000 per MG to several million dollars per MG. Enter </w:t>
      </w:r>
      <w:r w:rsidR="007B27AF">
        <w:t>a cost that reflects local site-specific conditions</w:t>
      </w:r>
      <w:r w:rsidR="00C07172">
        <w:t xml:space="preserve">. </w:t>
      </w:r>
    </w:p>
    <w:p w:rsidR="00E17BF3" w:rsidRDefault="00E17BF3" w:rsidP="00AE7F6D">
      <w:pPr>
        <w:pStyle w:val="BodyText"/>
        <w:rPr>
          <w:szCs w:val="20"/>
        </w:rPr>
      </w:pPr>
      <w:r w:rsidRPr="00FA6577">
        <w:rPr>
          <w:rStyle w:val="Bold"/>
        </w:rPr>
        <w:t xml:space="preserve">Line </w:t>
      </w:r>
      <w:r w:rsidR="00FC46FF" w:rsidRPr="00FA6577">
        <w:rPr>
          <w:rStyle w:val="Bold"/>
        </w:rPr>
        <w:t xml:space="preserve">19 </w:t>
      </w:r>
      <w:r w:rsidRPr="00FA6577">
        <w:rPr>
          <w:rStyle w:val="Bold"/>
        </w:rPr>
        <w:t xml:space="preserve">– Estimated cost of storage. </w:t>
      </w:r>
      <w:r>
        <w:rPr>
          <w:szCs w:val="20"/>
        </w:rPr>
        <w:t xml:space="preserve">Multiply Line </w:t>
      </w:r>
      <w:r w:rsidR="00FC46FF">
        <w:rPr>
          <w:szCs w:val="20"/>
        </w:rPr>
        <w:t xml:space="preserve">17 </w:t>
      </w:r>
      <w:r>
        <w:rPr>
          <w:szCs w:val="20"/>
        </w:rPr>
        <w:t xml:space="preserve">by Line </w:t>
      </w:r>
      <w:r w:rsidR="00FC46FF">
        <w:rPr>
          <w:szCs w:val="20"/>
        </w:rPr>
        <w:t>18</w:t>
      </w:r>
      <w:r>
        <w:rPr>
          <w:szCs w:val="20"/>
        </w:rPr>
        <w:t>.</w:t>
      </w:r>
    </w:p>
    <w:p w:rsidR="00E17BF3" w:rsidRDefault="00E17BF3" w:rsidP="003859D2">
      <w:pPr>
        <w:pStyle w:val="Heading2"/>
      </w:pPr>
      <w:bookmarkStart w:id="216" w:name="_Toc127078270"/>
      <w:bookmarkStart w:id="217" w:name="_Toc243725277"/>
      <w:bookmarkStart w:id="218" w:name="_Toc243809459"/>
      <w:bookmarkStart w:id="219" w:name="_Toc285015623"/>
      <w:r>
        <w:t>Summary of Controls and Costs</w:t>
      </w:r>
      <w:bookmarkEnd w:id="216"/>
      <w:bookmarkEnd w:id="217"/>
      <w:bookmarkEnd w:id="218"/>
      <w:bookmarkEnd w:id="219"/>
    </w:p>
    <w:p w:rsidR="00E17BF3" w:rsidRDefault="00E17BF3" w:rsidP="00AE7F6D">
      <w:pPr>
        <w:pStyle w:val="BodyText"/>
      </w:pPr>
      <w:r>
        <w:t>The final CSO control alternatives selected on this schedule (and on supporting analysis if used) represent the CSO controls proposed for the draft LTCP. The level of CSO control proposed must be consistent with the CSO volumes determined t</w:t>
      </w:r>
      <w:r w:rsidRPr="00B91F0C">
        <w:t>o require control on Line 23 and 24 of Schedule 4</w:t>
      </w:r>
      <w:r w:rsidRPr="003B560E">
        <w:t xml:space="preserve"> – </w:t>
      </w:r>
      <w:r w:rsidRPr="00B91F0C">
        <w:t>CSO VOLUME.</w:t>
      </w:r>
    </w:p>
    <w:p w:rsidR="00E17BF3" w:rsidRDefault="00E17BF3" w:rsidP="00AE7F6D">
      <w:pPr>
        <w:pStyle w:val="BodyText"/>
      </w:pPr>
      <w:r>
        <w:t xml:space="preserve">Complete the following summary of recommended CSO controls and costs below and on FORM </w:t>
      </w:r>
      <w:r w:rsidR="00D55649">
        <w:t xml:space="preserve">GREEN </w:t>
      </w:r>
      <w:r>
        <w:t>LTCP-EZ.</w:t>
      </w:r>
    </w:p>
    <w:p w:rsidR="00E17BF3" w:rsidRPr="00B91F0C" w:rsidRDefault="00E17BF3" w:rsidP="00AE7F6D">
      <w:pPr>
        <w:pStyle w:val="BodyText"/>
        <w:rPr>
          <w:szCs w:val="20"/>
        </w:rPr>
      </w:pPr>
      <w:r w:rsidRPr="00FA6577">
        <w:rPr>
          <w:rStyle w:val="Bold"/>
        </w:rPr>
        <w:t xml:space="preserve">Line </w:t>
      </w:r>
      <w:r w:rsidR="00B91F0C" w:rsidRPr="00FA6577">
        <w:rPr>
          <w:rStyle w:val="Bold"/>
        </w:rPr>
        <w:t>20</w:t>
      </w:r>
      <w:r w:rsidR="00B91F0C" w:rsidRPr="00B91F0C">
        <w:rPr>
          <w:szCs w:val="20"/>
        </w:rPr>
        <w:t xml:space="preserve"> </w:t>
      </w:r>
      <w:r w:rsidRPr="00FA6577">
        <w:rPr>
          <w:rStyle w:val="Bold"/>
        </w:rPr>
        <w:t xml:space="preserve">– Volume reduction from CSO controls in sub-sewersheds (MG). </w:t>
      </w:r>
      <w:r w:rsidRPr="00B91F0C">
        <w:rPr>
          <w:szCs w:val="20"/>
        </w:rPr>
        <w:t>Add Lines 14</w:t>
      </w:r>
      <w:r w:rsidR="00B91F0C">
        <w:rPr>
          <w:szCs w:val="20"/>
        </w:rPr>
        <w:t xml:space="preserve"> </w:t>
      </w:r>
      <w:r w:rsidRPr="00B91F0C">
        <w:rPr>
          <w:szCs w:val="20"/>
        </w:rPr>
        <w:t xml:space="preserve">and </w:t>
      </w:r>
      <w:r w:rsidR="00B91F0C">
        <w:rPr>
          <w:szCs w:val="20"/>
        </w:rPr>
        <w:t>17</w:t>
      </w:r>
      <w:r w:rsidRPr="00B91F0C">
        <w:rPr>
          <w:szCs w:val="20"/>
        </w:rPr>
        <w:t>.</w:t>
      </w:r>
    </w:p>
    <w:p w:rsidR="00E17BF3" w:rsidRPr="00B91F0C" w:rsidRDefault="00E17BF3" w:rsidP="00AE7F6D">
      <w:pPr>
        <w:pStyle w:val="BodyText"/>
        <w:rPr>
          <w:szCs w:val="20"/>
        </w:rPr>
      </w:pPr>
      <w:r w:rsidRPr="00FA6577">
        <w:rPr>
          <w:rStyle w:val="Bold"/>
        </w:rPr>
        <w:t xml:space="preserve">Line </w:t>
      </w:r>
      <w:r w:rsidR="00B91F0C" w:rsidRPr="00FA6577">
        <w:rPr>
          <w:rStyle w:val="Bold"/>
        </w:rPr>
        <w:t>21</w:t>
      </w:r>
      <w:r w:rsidRPr="00FA6577">
        <w:rPr>
          <w:rStyle w:val="Bold"/>
        </w:rPr>
        <w:t>– Cost of CSO controls in sub-sewersheds.</w:t>
      </w:r>
      <w:r w:rsidRPr="00B91F0C">
        <w:rPr>
          <w:szCs w:val="20"/>
        </w:rPr>
        <w:t xml:space="preserve"> Add Lines 16</w:t>
      </w:r>
      <w:r w:rsidR="00B91F0C">
        <w:rPr>
          <w:szCs w:val="20"/>
        </w:rPr>
        <w:t xml:space="preserve"> </w:t>
      </w:r>
      <w:r w:rsidRPr="00B91F0C">
        <w:rPr>
          <w:szCs w:val="20"/>
        </w:rPr>
        <w:t xml:space="preserve">and </w:t>
      </w:r>
      <w:r w:rsidR="00B91F0C">
        <w:rPr>
          <w:szCs w:val="20"/>
        </w:rPr>
        <w:t>19</w:t>
      </w:r>
      <w:r w:rsidRPr="00B91F0C">
        <w:rPr>
          <w:szCs w:val="20"/>
        </w:rPr>
        <w:t>.</w:t>
      </w:r>
    </w:p>
    <w:p w:rsidR="0062037C" w:rsidRDefault="00E17BF3" w:rsidP="00AE7F6D">
      <w:pPr>
        <w:pStyle w:val="BodyText"/>
        <w:rPr>
          <w:szCs w:val="20"/>
        </w:rPr>
      </w:pPr>
      <w:r w:rsidRPr="00FA6577">
        <w:rPr>
          <w:rStyle w:val="Bold"/>
        </w:rPr>
        <w:t xml:space="preserve">Line </w:t>
      </w:r>
      <w:r w:rsidR="00B91F0C" w:rsidRPr="00FA6577">
        <w:rPr>
          <w:rStyle w:val="Bold"/>
        </w:rPr>
        <w:t xml:space="preserve">22 </w:t>
      </w:r>
      <w:r w:rsidRPr="00FA6577">
        <w:rPr>
          <w:rStyle w:val="Bold"/>
        </w:rPr>
        <w:t>– Total volume reduction in sub-sewersheds (MG).</w:t>
      </w:r>
      <w:r w:rsidRPr="00B91F0C">
        <w:rPr>
          <w:szCs w:val="20"/>
        </w:rPr>
        <w:t xml:space="preserve"> Add up volumes across Line </w:t>
      </w:r>
      <w:r w:rsidR="00B91F0C">
        <w:rPr>
          <w:szCs w:val="20"/>
        </w:rPr>
        <w:t>20</w:t>
      </w:r>
      <w:r w:rsidR="0062037C">
        <w:rPr>
          <w:szCs w:val="20"/>
        </w:rPr>
        <w:t>.</w:t>
      </w:r>
    </w:p>
    <w:p w:rsidR="0062037C" w:rsidRDefault="00E17BF3" w:rsidP="00AE7F6D">
      <w:pPr>
        <w:pStyle w:val="BodyText"/>
        <w:rPr>
          <w:szCs w:val="20"/>
        </w:rPr>
      </w:pPr>
      <w:r w:rsidRPr="00FA6577">
        <w:rPr>
          <w:rStyle w:val="Bold"/>
        </w:rPr>
        <w:t xml:space="preserve">Line </w:t>
      </w:r>
      <w:r w:rsidR="00B91F0C" w:rsidRPr="00FA6577">
        <w:rPr>
          <w:rStyle w:val="Bold"/>
        </w:rPr>
        <w:t xml:space="preserve">23 </w:t>
      </w:r>
      <w:r w:rsidRPr="00FA6577">
        <w:rPr>
          <w:rStyle w:val="Bold"/>
        </w:rPr>
        <w:t>– Total cost of CSO controls in sub-sewersheds.</w:t>
      </w:r>
      <w:r w:rsidRPr="00B91F0C">
        <w:rPr>
          <w:szCs w:val="20"/>
        </w:rPr>
        <w:t xml:space="preserve"> Add up costs across Line </w:t>
      </w:r>
      <w:r w:rsidR="00B91F0C">
        <w:rPr>
          <w:szCs w:val="20"/>
        </w:rPr>
        <w:t>21</w:t>
      </w:r>
      <w:r w:rsidR="0062037C">
        <w:rPr>
          <w:szCs w:val="20"/>
        </w:rPr>
        <w:t>.</w:t>
      </w:r>
    </w:p>
    <w:p w:rsidR="00E17BF3" w:rsidRDefault="00E17BF3" w:rsidP="00AE7F6D">
      <w:pPr>
        <w:pStyle w:val="BodyText"/>
        <w:sectPr w:rsidR="00E17BF3" w:rsidSect="00A20390">
          <w:endnotePr>
            <w:numFmt w:val="decimal"/>
            <w:numRestart w:val="eachSect"/>
          </w:endnotePr>
          <w:type w:val="continuous"/>
          <w:pgSz w:w="12240" w:h="15840" w:code="1"/>
          <w:pgMar w:top="1440" w:right="1440" w:bottom="1440" w:left="1440" w:header="720" w:footer="720" w:gutter="0"/>
          <w:cols w:num="3" w:space="360"/>
          <w:docGrid w:linePitch="360"/>
        </w:sectPr>
      </w:pPr>
      <w:r w:rsidRPr="00FA6577">
        <w:rPr>
          <w:rStyle w:val="Bold"/>
        </w:rPr>
        <w:t xml:space="preserve">Line </w:t>
      </w:r>
      <w:r w:rsidR="00B91F0C" w:rsidRPr="00FA6577">
        <w:rPr>
          <w:rStyle w:val="Bold"/>
        </w:rPr>
        <w:t xml:space="preserve">24 </w:t>
      </w:r>
      <w:r w:rsidRPr="00FA6577">
        <w:rPr>
          <w:rStyle w:val="Bold"/>
        </w:rPr>
        <w:t>– Total cost of additional treatment or storage at WWTP.</w:t>
      </w:r>
      <w:r w:rsidRPr="00B91F0C">
        <w:t xml:space="preserve"> </w:t>
      </w:r>
      <w:r w:rsidR="007C7009">
        <w:t>Add</w:t>
      </w:r>
      <w:r w:rsidR="007C7009" w:rsidRPr="00B91F0C">
        <w:t xml:space="preserve"> </w:t>
      </w:r>
      <w:r w:rsidRPr="00B91F0C">
        <w:t>cost</w:t>
      </w:r>
      <w:r w:rsidR="007C7009">
        <w:t>s</w:t>
      </w:r>
      <w:r w:rsidRPr="00B91F0C">
        <w:t xml:space="preserve"> on Line 6 </w:t>
      </w:r>
      <w:r w:rsidR="007C7009">
        <w:t>and</w:t>
      </w:r>
      <w:r w:rsidR="007C7009" w:rsidRPr="00B91F0C">
        <w:t xml:space="preserve"> </w:t>
      </w:r>
      <w:r w:rsidRPr="00B91F0C">
        <w:t xml:space="preserve">Line 9. </w:t>
      </w:r>
      <w:r w:rsidR="003B560E">
        <w:t>I</w:t>
      </w:r>
      <w:r w:rsidRPr="00B91F0C">
        <w:t>f no additional control is planned at the WWTP</w:t>
      </w:r>
      <w:r w:rsidR="003B560E">
        <w:t>, e</w:t>
      </w:r>
      <w:r w:rsidR="003B560E" w:rsidRPr="00B91F0C">
        <w:t>nter 0.0</w:t>
      </w:r>
      <w:r>
        <w:t>.</w:t>
      </w:r>
    </w:p>
    <w:p w:rsidR="00E17BF3" w:rsidRDefault="00A730EA" w:rsidP="002709A2">
      <w:pPr>
        <w:pStyle w:val="Heading1"/>
      </w:pPr>
      <w:bookmarkStart w:id="220" w:name="_Toc127078271"/>
      <w:bookmarkStart w:id="221" w:name="_Toc243725278"/>
      <w:bookmarkStart w:id="222" w:name="_Toc243809460"/>
      <w:bookmarkStart w:id="223" w:name="_Toc285015624"/>
      <w:r>
        <w:lastRenderedPageBreak/>
        <w:t>Instructions: Schedule</w:t>
      </w:r>
      <w:r w:rsidR="00E17BF3">
        <w:t xml:space="preserve"> 6 – CSO </w:t>
      </w:r>
      <w:r>
        <w:t xml:space="preserve">Financial </w:t>
      </w:r>
      <w:bookmarkEnd w:id="220"/>
      <w:r>
        <w:t>Capability</w:t>
      </w:r>
      <w:bookmarkEnd w:id="221"/>
      <w:bookmarkEnd w:id="222"/>
      <w:bookmarkEnd w:id="223"/>
    </w:p>
    <w:p w:rsidR="0062037C" w:rsidRDefault="00E17BF3" w:rsidP="00FA6577">
      <w:pPr>
        <w:pStyle w:val="BodyText"/>
      </w:pPr>
      <w:r>
        <w:t xml:space="preserve">The CSO Control Policy recognizes the need to address the relative importance of environmental and financial issues when </w:t>
      </w:r>
      <w:r w:rsidR="00C07172">
        <w:t xml:space="preserve">negotiating </w:t>
      </w:r>
      <w:r>
        <w:t xml:space="preserve">an implementation schedule for CSO controls. The ability of small communities to afford CSO control influences control priorities and the implementation schedule. Schedule 6 – CSO </w:t>
      </w:r>
      <w:r w:rsidR="003F73FC">
        <w:t xml:space="preserve">FINANCIAL </w:t>
      </w:r>
      <w:r w:rsidR="00992743">
        <w:t>CAPABILITY</w:t>
      </w:r>
      <w:r>
        <w:t xml:space="preserve"> uses EPA’s </w:t>
      </w:r>
      <w:r w:rsidR="003F73FC">
        <w:t>financial c</w:t>
      </w:r>
      <w:r w:rsidR="00992743">
        <w:t>apability</w:t>
      </w:r>
      <w:r>
        <w:t xml:space="preserve"> analysis approach to develop a financial capability indicator for the community. Th</w:t>
      </w:r>
      <w:r w:rsidR="0028187E">
        <w:t>e</w:t>
      </w:r>
      <w:r>
        <w:t xml:space="preserve"> financial capability indicator </w:t>
      </w:r>
      <w:r w:rsidRPr="00FA6577">
        <w:rPr>
          <w:rStyle w:val="italic"/>
        </w:rPr>
        <w:t>is not</w:t>
      </w:r>
      <w:r>
        <w:t xml:space="preserve"> to be interpreted as an indicator of whether communities can afford CSO controls; rather, the </w:t>
      </w:r>
      <w:r w:rsidR="003F73FC">
        <w:t>financial c</w:t>
      </w:r>
      <w:r w:rsidR="00992743">
        <w:t>apability</w:t>
      </w:r>
      <w:r>
        <w:t xml:space="preserve"> analysis is used as part of the planning process to determine the potential burden on the community for implementing the controls over a specific schedule. Thus, one of the primary uses of the </w:t>
      </w:r>
      <w:r w:rsidR="003F73FC">
        <w:t>financial c</w:t>
      </w:r>
      <w:r w:rsidR="00992743">
        <w:t>apability</w:t>
      </w:r>
      <w:r>
        <w:t xml:space="preserve"> analysis is in the negotiation of the CSO control implementation schedule.</w:t>
      </w:r>
      <w:r w:rsidR="00F2669B">
        <w:t xml:space="preserve"> </w:t>
      </w:r>
      <w:r>
        <w:t>The</w:t>
      </w:r>
      <w:r w:rsidR="003F73FC">
        <w:t xml:space="preserve"> financial c</w:t>
      </w:r>
      <w:r w:rsidR="00992743">
        <w:t>apability</w:t>
      </w:r>
      <w:r>
        <w:t xml:space="preserve"> analysis standardizes the determination of financial burden by using standard </w:t>
      </w:r>
      <w:r w:rsidRPr="00FA6577">
        <w:rPr>
          <w:rStyle w:val="italic"/>
        </w:rPr>
        <w:t>big-picture</w:t>
      </w:r>
      <w:r>
        <w:t xml:space="preserve"> measures of a community’s financial capability (e.g., property tax rates, median household incomes, bond ratings)</w:t>
      </w:r>
      <w:r w:rsidR="00C07172">
        <w:t xml:space="preserve">. </w:t>
      </w:r>
      <w:r>
        <w:t>Once the overall financial capability is determined for a community, it can be used in discussions with regulators to determine a realistic schedule for implementing CSO controls that takes into account the financial burden to the community in implementing those controls</w:t>
      </w:r>
      <w:r w:rsidR="0062037C">
        <w:t>.</w:t>
      </w:r>
    </w:p>
    <w:p w:rsidR="00E17BF3" w:rsidRDefault="00E17BF3" w:rsidP="00FA6577">
      <w:pPr>
        <w:pStyle w:val="BodyText"/>
      </w:pPr>
      <w:r>
        <w:t xml:space="preserve">This </w:t>
      </w:r>
      <w:r w:rsidR="0028187E">
        <w:t>s</w:t>
      </w:r>
      <w:r>
        <w:t xml:space="preserve">chedule presents a two-phase approach to assessing a permittee’s financial capability. The first phase identifies the combined </w:t>
      </w:r>
      <w:r w:rsidR="0028187E">
        <w:t>effe</w:t>
      </w:r>
      <w:r>
        <w:t>ct</w:t>
      </w:r>
      <w:r w:rsidR="0028187E">
        <w:t>s</w:t>
      </w:r>
      <w:r>
        <w:t xml:space="preserve"> of wastewater and CSO control costs on individual households. The second phase examines the debt, socioeconomic, and financial conditions of a permittee. The results of the two-phase analysis are combined in a Financial Capability Matrix. </w:t>
      </w:r>
    </w:p>
    <w:p w:rsidR="0062037C" w:rsidRDefault="00E17BF3" w:rsidP="00FA6577">
      <w:pPr>
        <w:pStyle w:val="BodyText"/>
      </w:pPr>
      <w:r>
        <w:t xml:space="preserve">Phase I determines a Residential Indicator. This indicator is the permittee’s average costs per household (CPH) for WWT and CSO controls as a percentage of the local median household income (MHI). It reflects the residential share of current and planned WWT and CSO control needs to meet the requirements of the </w:t>
      </w:r>
      <w:r w:rsidR="003537B4">
        <w:t>CWA</w:t>
      </w:r>
      <w:r>
        <w:t xml:space="preserve">. A value for this indicator characterizes whether costs will impose a </w:t>
      </w:r>
      <w:r w:rsidRPr="00FA6577">
        <w:rPr>
          <w:rStyle w:val="italic"/>
        </w:rPr>
        <w:t>low</w:t>
      </w:r>
      <w:r>
        <w:t xml:space="preserve">, </w:t>
      </w:r>
      <w:r w:rsidRPr="00FA6577">
        <w:rPr>
          <w:rStyle w:val="italic"/>
        </w:rPr>
        <w:t>mid-range</w:t>
      </w:r>
      <w:r>
        <w:t xml:space="preserve">, or </w:t>
      </w:r>
      <w:r w:rsidRPr="00FA6577">
        <w:rPr>
          <w:rStyle w:val="italic"/>
        </w:rPr>
        <w:t>high</w:t>
      </w:r>
      <w:r>
        <w:t xml:space="preserve"> financial </w:t>
      </w:r>
      <w:r w:rsidR="0028187E">
        <w:t>effe</w:t>
      </w:r>
      <w:r>
        <w:t>ct on residential users</w:t>
      </w:r>
      <w:r w:rsidR="0062037C">
        <w:t>.</w:t>
      </w:r>
    </w:p>
    <w:p w:rsidR="00E17BF3" w:rsidRDefault="00E17BF3" w:rsidP="00FA6577">
      <w:pPr>
        <w:pStyle w:val="BodyText"/>
      </w:pPr>
      <w:r>
        <w:t xml:space="preserve">Phase II develops the permittee’s Financial Capability Indicators. Six indicators are used to evaluate the debt, socioeconomic and financial conditions that affect a permittee’s financial capability to implement the CSO controls. The indicators serve as the basis for a second phase analysis that characterizes the permittee’s financial capability as </w:t>
      </w:r>
      <w:r w:rsidRPr="00FA6577">
        <w:rPr>
          <w:rStyle w:val="italic"/>
        </w:rPr>
        <w:t>weak</w:t>
      </w:r>
      <w:r>
        <w:t xml:space="preserve">, </w:t>
      </w:r>
      <w:r w:rsidRPr="00FA6577">
        <w:rPr>
          <w:rStyle w:val="italic"/>
        </w:rPr>
        <w:t>mid-range</w:t>
      </w:r>
      <w:r>
        <w:t xml:space="preserve">, or </w:t>
      </w:r>
      <w:r w:rsidRPr="00FA6577">
        <w:rPr>
          <w:rStyle w:val="italic"/>
        </w:rPr>
        <w:t>strong</w:t>
      </w:r>
      <w:r>
        <w:t xml:space="preserve">. Schedule 6 – CSO </w:t>
      </w:r>
      <w:r w:rsidR="003F73FC">
        <w:t xml:space="preserve">FINANCIAL </w:t>
      </w:r>
      <w:r w:rsidR="00992743">
        <w:t>CAPABILITY</w:t>
      </w:r>
      <w:r>
        <w:t xml:space="preserve"> is based on </w:t>
      </w:r>
      <w:r w:rsidRPr="00FA6577">
        <w:rPr>
          <w:rStyle w:val="italic"/>
        </w:rPr>
        <w:t>Combined Sewer Overflows–Guidance for Financial Capability Assessment and Schedule Development</w:t>
      </w:r>
      <w:r w:rsidR="00F01E11" w:rsidRPr="00FA6577">
        <w:rPr>
          <w:rStyle w:val="italic"/>
        </w:rPr>
        <w:t xml:space="preserve"> </w:t>
      </w:r>
      <w:r w:rsidR="00F01E11" w:rsidRPr="0017079F">
        <w:t>(EPA 1997)</w:t>
      </w:r>
      <w:r w:rsidRPr="0017079F">
        <w:t>.</w:t>
      </w:r>
    </w:p>
    <w:p w:rsidR="0025141C" w:rsidRDefault="0025141C" w:rsidP="00FA6577">
      <w:pPr>
        <w:pStyle w:val="BodyText"/>
        <w:sectPr w:rsidR="0025141C" w:rsidSect="00A20390">
          <w:headerReference w:type="even" r:id="rId64"/>
          <w:footerReference w:type="even" r:id="rId65"/>
          <w:footerReference w:type="default" r:id="rId66"/>
          <w:endnotePr>
            <w:numFmt w:val="decimal"/>
            <w:numRestart w:val="eachSect"/>
          </w:endnotePr>
          <w:pgSz w:w="12240" w:h="15840" w:code="1"/>
          <w:pgMar w:top="1440" w:right="1440" w:bottom="1440" w:left="1440" w:header="720" w:footer="720" w:gutter="0"/>
          <w:cols w:space="720"/>
          <w:docGrid w:linePitch="360"/>
        </w:sectPr>
      </w:pPr>
    </w:p>
    <w:p w:rsidR="00E17BF3" w:rsidRDefault="00E17BF3" w:rsidP="003859D2">
      <w:pPr>
        <w:pStyle w:val="Heading2"/>
      </w:pPr>
      <w:r>
        <w:br w:type="page"/>
      </w:r>
      <w:bookmarkStart w:id="224" w:name="_Toc127078272"/>
      <w:bookmarkStart w:id="225" w:name="_Toc243725279"/>
      <w:bookmarkStart w:id="226" w:name="_Toc243809461"/>
      <w:bookmarkStart w:id="227" w:name="_Toc285015625"/>
      <w:r>
        <w:lastRenderedPageBreak/>
        <w:t>Phase I Residential Indicator</w:t>
      </w:r>
      <w:bookmarkEnd w:id="224"/>
      <w:bookmarkEnd w:id="225"/>
      <w:bookmarkEnd w:id="226"/>
      <w:bookmarkEnd w:id="227"/>
    </w:p>
    <w:p w:rsidR="0062037C" w:rsidRDefault="00E17BF3" w:rsidP="00FA6577">
      <w:pPr>
        <w:pStyle w:val="BodyText"/>
      </w:pPr>
      <w:r>
        <w:rPr>
          <w:spacing w:val="-2"/>
        </w:rPr>
        <w:t>In Phase I of the analysis of the permittee’s financial capability, a Residential Indicator is calculated</w:t>
      </w:r>
      <w:r w:rsidR="0043213D">
        <w:rPr>
          <w:spacing w:val="-2"/>
        </w:rPr>
        <w:t xml:space="preserve">. </w:t>
      </w:r>
      <w:r>
        <w:t xml:space="preserve">The Residential Indicator measures the financial </w:t>
      </w:r>
      <w:r w:rsidR="00E82838">
        <w:t>effe</w:t>
      </w:r>
      <w:r>
        <w:t>ct of the current and proposed WWT and CSO controls on residential users. Develop</w:t>
      </w:r>
      <w:r w:rsidR="0028187E">
        <w:t>ing</w:t>
      </w:r>
      <w:r>
        <w:t xml:space="preserve"> this indicator starts with determi</w:t>
      </w:r>
      <w:r w:rsidR="0028187E">
        <w:t>ning</w:t>
      </w:r>
      <w:r>
        <w:t xml:space="preserve"> the current and proposed WWT and CSO control costs per household (CPH). Next, the service area's CPH estimate and the median household income (MHI) are used to calculate the Residential Indicator. Finally, the Residential Indicator is compared to financial impact ranges to determine whether CSO controls will produce a possible </w:t>
      </w:r>
      <w:r w:rsidRPr="00FA6577">
        <w:rPr>
          <w:rStyle w:val="italic"/>
        </w:rPr>
        <w:t>high</w:t>
      </w:r>
      <w:r>
        <w:t xml:space="preserve">, </w:t>
      </w:r>
      <w:r w:rsidRPr="00FA6577">
        <w:rPr>
          <w:rStyle w:val="italic"/>
        </w:rPr>
        <w:t>mid-range</w:t>
      </w:r>
      <w:r w:rsidR="00E82838">
        <w:t>,</w:t>
      </w:r>
      <w:r>
        <w:t xml:space="preserve"> or </w:t>
      </w:r>
      <w:r w:rsidRPr="00FA6577">
        <w:rPr>
          <w:rStyle w:val="italic"/>
        </w:rPr>
        <w:t>low</w:t>
      </w:r>
      <w:r>
        <w:t xml:space="preserve"> financial impact on the permittee's residential users</w:t>
      </w:r>
      <w:r w:rsidR="0062037C">
        <w:t>.</w:t>
      </w:r>
    </w:p>
    <w:p w:rsidR="0062037C" w:rsidRDefault="00E17BF3" w:rsidP="0028187E">
      <w:pPr>
        <w:pStyle w:val="Norma"/>
        <w:spacing w:before="120" w:after="120"/>
      </w:pPr>
      <w:r>
        <w:t xml:space="preserve">The first step in developing the CPH is to determine the permittee's total WWT and CSO costs by </w:t>
      </w:r>
      <w:r w:rsidR="00E82838">
        <w:t>summing</w:t>
      </w:r>
      <w:r>
        <w:t xml:space="preserve"> the current costs for existing </w:t>
      </w:r>
      <w:r w:rsidR="005A3962">
        <w:t>WWT</w:t>
      </w:r>
      <w:r>
        <w:t xml:space="preserve"> operations and the projected costs for any proposed WWT and CSO controls. The next step is to calculate the residential share of the total WWT and CSO costs. The final step is to calculate the CPH by dividing the residential share of total WWT and CSO costs by the number of households in the permittee's total wastewater service area</w:t>
      </w:r>
      <w:r w:rsidR="0062037C">
        <w:t>.</w:t>
      </w:r>
    </w:p>
    <w:p w:rsidR="0062037C" w:rsidRDefault="00E17BF3" w:rsidP="00FA6577">
      <w:pPr>
        <w:pStyle w:val="BodyText"/>
      </w:pPr>
      <w:r>
        <w:t xml:space="preserve">The permittee's latest financial reports should be used to develop the current </w:t>
      </w:r>
      <w:r w:rsidR="005A3962">
        <w:t>WWT</w:t>
      </w:r>
      <w:r>
        <w:t xml:space="preserve"> operations costs. </w:t>
      </w:r>
      <w:r w:rsidR="00E82838">
        <w:t>T</w:t>
      </w:r>
      <w:r>
        <w:t xml:space="preserve">o comply with accounting requirements, most permittees develop a combined statement of revenues, expenses, and changes in fund balance. </w:t>
      </w:r>
      <w:r w:rsidR="00E82838">
        <w:t xml:space="preserve">Such </w:t>
      </w:r>
      <w:r>
        <w:t xml:space="preserve">reports should be available directly from the accounting or </w:t>
      </w:r>
      <w:r>
        <w:t>financial departments in the permittee’s community, or, in some states, from central records kept by the state auditor or other state offices (many states conduct audits and generate financial reports</w:t>
      </w:r>
      <w:r w:rsidR="00E82838">
        <w:t>,</w:t>
      </w:r>
      <w:r>
        <w:t xml:space="preserve"> i.e., balance sheet, statement of revenues, expenses, changes in fund balances, and statement of cash flows, for each permittee)</w:t>
      </w:r>
      <w:r w:rsidR="00E82838">
        <w:t>.</w:t>
      </w:r>
      <w:r>
        <w:t xml:space="preserve"> Projected costs and the number of households in the wastewater service area should be available through planning documents</w:t>
      </w:r>
      <w:r w:rsidR="0062037C">
        <w:t>.</w:t>
      </w:r>
    </w:p>
    <w:p w:rsidR="00E17BF3" w:rsidRDefault="00E17BF3" w:rsidP="00FA6577">
      <w:pPr>
        <w:pStyle w:val="BodyText"/>
      </w:pPr>
      <w:r>
        <w:t xml:space="preserve">The </w:t>
      </w:r>
      <w:r w:rsidR="00182102">
        <w:t>U.S. Census Bureau</w:t>
      </w:r>
      <w:r>
        <w:t xml:space="preserve"> </w:t>
      </w:r>
      <w:r w:rsidR="0028187E">
        <w:t>W</w:t>
      </w:r>
      <w:r>
        <w:t>eb</w:t>
      </w:r>
      <w:r w:rsidR="0028187E">
        <w:t xml:space="preserve"> </w:t>
      </w:r>
      <w:r>
        <w:t xml:space="preserve">site </w:t>
      </w:r>
      <w:r w:rsidR="00E82838">
        <w:t>(</w:t>
      </w:r>
      <w:hyperlink r:id="rId67" w:history="1">
        <w:r w:rsidR="008C6DB0" w:rsidRPr="00FF410E">
          <w:rPr>
            <w:rStyle w:val="Hyperlink"/>
            <w:szCs w:val="20"/>
          </w:rPr>
          <w:t>http://factfinder.census.gov/</w:t>
        </w:r>
        <w:r w:rsidR="008C6DB0" w:rsidRPr="00FF410E">
          <w:rPr>
            <w:rStyle w:val="Hyperlink"/>
            <w:szCs w:val="20"/>
          </w:rPr>
          <w:br/>
          <w:t>home/saff/main.html?_lang=en</w:t>
        </w:r>
      </w:hyperlink>
      <w:r w:rsidR="00E82838">
        <w:t>)</w:t>
      </w:r>
      <w:r>
        <w:t xml:space="preserve"> has data that can be used to estimate the number of households in a specific service area. The Consumer Price Index rate (CPI) is used in several calculations. The value used should be the average rate for the previous </w:t>
      </w:r>
      <w:r w:rsidR="0028187E">
        <w:t xml:space="preserve">5 </w:t>
      </w:r>
      <w:r>
        <w:t>years. The CPI is available through the Bureau of Labor Statistics</w:t>
      </w:r>
      <w:r w:rsidR="003D6792">
        <w:t xml:space="preserve"> (BLS)</w:t>
      </w:r>
      <w:r>
        <w:t xml:space="preserve"> </w:t>
      </w:r>
      <w:r w:rsidR="0028187E">
        <w:t>W</w:t>
      </w:r>
      <w:r>
        <w:t>eb</w:t>
      </w:r>
      <w:r w:rsidR="0028187E">
        <w:t xml:space="preserve"> </w:t>
      </w:r>
      <w:r>
        <w:t xml:space="preserve">site at </w:t>
      </w:r>
      <w:r>
        <w:rPr>
          <w:u w:val="single"/>
        </w:rPr>
        <w:t>http://www.bls.gov/cpi/</w:t>
      </w:r>
      <w:r>
        <w:t>.</w:t>
      </w:r>
    </w:p>
    <w:p w:rsidR="00E17BF3" w:rsidRDefault="00E17BF3" w:rsidP="00FA6577">
      <w:pPr>
        <w:pStyle w:val="BodyText"/>
      </w:pPr>
      <w:r>
        <w:t xml:space="preserve">The first step in developing the Residential Indicator is to determine the </w:t>
      </w:r>
      <w:r w:rsidR="00E82838">
        <w:t xml:space="preserve">CPH </w:t>
      </w:r>
      <w:r>
        <w:t xml:space="preserve">of total WWT and CSO </w:t>
      </w:r>
      <w:r w:rsidR="00E82838">
        <w:t>c</w:t>
      </w:r>
      <w:r>
        <w:t xml:space="preserve">osts. </w:t>
      </w:r>
      <w:r w:rsidR="00E82838">
        <w:t>T</w:t>
      </w:r>
      <w:r>
        <w:t>o do this, permittees must first calculate current WWT and CSO costs, and then projected costs of future WWT and CSO treatment. These steps are completed in Lines 1</w:t>
      </w:r>
      <w:r w:rsidR="00E82838">
        <w:t>–</w:t>
      </w:r>
      <w:r>
        <w:t>17 below.</w:t>
      </w:r>
    </w:p>
    <w:p w:rsidR="00E17BF3" w:rsidRDefault="00E17BF3" w:rsidP="0025141C">
      <w:pPr>
        <w:pStyle w:val="Heading2"/>
      </w:pPr>
      <w:bookmarkStart w:id="228" w:name="_Toc243725280"/>
      <w:bookmarkStart w:id="229" w:name="_Toc243809462"/>
      <w:bookmarkStart w:id="230" w:name="_Toc285015626"/>
      <w:r>
        <w:t>Current Costs</w:t>
      </w:r>
      <w:bookmarkEnd w:id="228"/>
      <w:bookmarkEnd w:id="229"/>
      <w:bookmarkEnd w:id="230"/>
    </w:p>
    <w:p w:rsidR="00E17BF3" w:rsidRDefault="00E17BF3" w:rsidP="00FA6577">
      <w:pPr>
        <w:pStyle w:val="BodyText"/>
      </w:pPr>
      <w:r>
        <w:t xml:space="preserve">Current WWT costs are defined as current annual wastewater </w:t>
      </w:r>
      <w:r w:rsidR="00E82838">
        <w:t>O&amp;M</w:t>
      </w:r>
      <w:r>
        <w:t xml:space="preserve"> expenses (excluding depreciation) plus current annual debt service (principal and interest). Th</w:t>
      </w:r>
      <w:r w:rsidR="00E82838">
        <w:t>at</w:t>
      </w:r>
      <w:r>
        <w:t xml:space="preserve"> is a fair representation of cash expenses for current </w:t>
      </w:r>
      <w:r w:rsidR="005A3962" w:rsidRPr="005A3962">
        <w:t>WWT</w:t>
      </w:r>
      <w:r>
        <w:t xml:space="preserve"> operations (expenses for funded depreciation, capital replacement funds, or other types of capital reserve funds </w:t>
      </w:r>
      <w:r>
        <w:t xml:space="preserve">are not included in current WWT costs because they represent a type of savings account rather than an actual </w:t>
      </w:r>
      <w:r w:rsidR="00E82838">
        <w:t>O&amp;M</w:t>
      </w:r>
      <w:r>
        <w:t xml:space="preserve"> expense).</w:t>
      </w:r>
    </w:p>
    <w:p w:rsidR="00E17BF3" w:rsidRDefault="00E17BF3" w:rsidP="00FA6577">
      <w:pPr>
        <w:pStyle w:val="BodyText"/>
      </w:pPr>
      <w:r w:rsidRPr="00FA6577">
        <w:rPr>
          <w:rStyle w:val="Bold"/>
        </w:rPr>
        <w:t>Line 1 – Annual operations and maintenance expenses (excluding depreciation).</w:t>
      </w:r>
      <w:r>
        <w:t xml:space="preserve"> Enter the annual </w:t>
      </w:r>
      <w:r w:rsidR="00E82838">
        <w:t>O&amp;M</w:t>
      </w:r>
      <w:r>
        <w:t xml:space="preserve"> costs including all significant cost categories, such as labor, chemicals, utilities, administration, and equipment replacement. Do not include depreciation.</w:t>
      </w:r>
    </w:p>
    <w:p w:rsidR="0062037C" w:rsidRDefault="00E17BF3" w:rsidP="00FA6577">
      <w:pPr>
        <w:pStyle w:val="BodyText"/>
      </w:pPr>
      <w:r w:rsidRPr="00FA6577">
        <w:rPr>
          <w:rStyle w:val="Bold"/>
        </w:rPr>
        <w:t xml:space="preserve">Line 2 – Annual debt service (principal and interest). </w:t>
      </w:r>
      <w:r>
        <w:t>Enter the annual debt service paid on WWT debts</w:t>
      </w:r>
      <w:r w:rsidR="0062037C">
        <w:t>.</w:t>
      </w:r>
    </w:p>
    <w:p w:rsidR="00E17BF3" w:rsidRDefault="00E17BF3" w:rsidP="00FA6577">
      <w:pPr>
        <w:pStyle w:val="BodyText"/>
      </w:pPr>
      <w:r w:rsidRPr="00FA6577">
        <w:rPr>
          <w:rStyle w:val="Bold"/>
        </w:rPr>
        <w:t xml:space="preserve">Line 3 – Current costs. </w:t>
      </w:r>
      <w:r>
        <w:t xml:space="preserve">Add together the annual </w:t>
      </w:r>
      <w:r w:rsidR="00E82838">
        <w:t>O&amp;M</w:t>
      </w:r>
      <w:r>
        <w:t xml:space="preserve"> expenses from Line 1 and the annual debt service from Line 2 and enter </w:t>
      </w:r>
      <w:r w:rsidR="007427E1">
        <w:t xml:space="preserve">the sum </w:t>
      </w:r>
      <w:r>
        <w:t>on Line 3.</w:t>
      </w:r>
    </w:p>
    <w:p w:rsidR="00E17BF3" w:rsidRDefault="00E17BF3" w:rsidP="0025141C">
      <w:pPr>
        <w:pStyle w:val="Heading2"/>
        <w:rPr>
          <w:iCs/>
          <w:szCs w:val="20"/>
        </w:rPr>
      </w:pPr>
      <w:bookmarkStart w:id="231" w:name="_Toc243725281"/>
      <w:bookmarkStart w:id="232" w:name="_Toc243809463"/>
      <w:bookmarkStart w:id="233" w:name="_Toc285015627"/>
      <w:r>
        <w:t>Projected Costs (Current Dollars)</w:t>
      </w:r>
      <w:bookmarkEnd w:id="231"/>
      <w:bookmarkEnd w:id="232"/>
      <w:bookmarkEnd w:id="233"/>
    </w:p>
    <w:p w:rsidR="0062037C" w:rsidRDefault="00E17BF3" w:rsidP="00FA6577">
      <w:pPr>
        <w:pStyle w:val="BodyText"/>
      </w:pPr>
      <w:r>
        <w:t xml:space="preserve">Estimates of projected costs are made for proposed WWT projects and for CSO controls. Any concerns about including specific proposed WWT projects or CSO controls in the projected costs, or the length of the planning period, should be discussed with the appropriate NPDES permitting and enforcement authorities. </w:t>
      </w:r>
      <w:r w:rsidR="00E82838">
        <w:t xml:space="preserve">Such </w:t>
      </w:r>
      <w:r>
        <w:t xml:space="preserve">costs should include projected </w:t>
      </w:r>
      <w:r w:rsidR="00E82838">
        <w:t>O&amp;M</w:t>
      </w:r>
      <w:r>
        <w:t xml:space="preserve"> expenses plus projected debt service costs for any proposed WWT and CSO controls. The residential or household costs (Lines 12</w:t>
      </w:r>
      <w:r w:rsidR="007427E1">
        <w:t>–</w:t>
      </w:r>
      <w:r>
        <w:t>17) exclude the portion of expenses attributable to commercial, governmental</w:t>
      </w:r>
      <w:r w:rsidR="007427E1">
        <w:t>,</w:t>
      </w:r>
      <w:r>
        <w:t xml:space="preserve"> and industrial wastewater discharges. The costs are adjusted to current dollars (i.e., deflated)</w:t>
      </w:r>
      <w:r w:rsidR="0062037C">
        <w:t>.</w:t>
      </w:r>
    </w:p>
    <w:p w:rsidR="0062037C" w:rsidRDefault="00E17BF3" w:rsidP="00FA6577">
      <w:pPr>
        <w:pStyle w:val="BodyText"/>
        <w:rPr>
          <w:szCs w:val="20"/>
        </w:rPr>
      </w:pPr>
      <w:r w:rsidRPr="00FA6577">
        <w:rPr>
          <w:rStyle w:val="Bold"/>
        </w:rPr>
        <w:t>Line 4 – Projected annual operations and maintenance expenses (excluding depreciation).</w:t>
      </w:r>
      <w:r>
        <w:rPr>
          <w:szCs w:val="20"/>
        </w:rPr>
        <w:t xml:space="preserve"> Enter the </w:t>
      </w:r>
      <w:r>
        <w:rPr>
          <w:szCs w:val="20"/>
        </w:rPr>
        <w:lastRenderedPageBreak/>
        <w:t>projected annual WWT and costs for new CSO-related facilities</w:t>
      </w:r>
      <w:r w:rsidR="0062037C">
        <w:rPr>
          <w:szCs w:val="20"/>
        </w:rPr>
        <w:t>.</w:t>
      </w:r>
    </w:p>
    <w:p w:rsidR="00B77B3C" w:rsidRDefault="00E17BF3" w:rsidP="00FA6577">
      <w:pPr>
        <w:pStyle w:val="BodyText"/>
      </w:pPr>
      <w:r w:rsidRPr="00FA6577">
        <w:rPr>
          <w:rStyle w:val="Bold"/>
        </w:rPr>
        <w:t xml:space="preserve">Line 5 – Present value adjustment factor. </w:t>
      </w:r>
      <w:r>
        <w:t xml:space="preserve">The present value adjustment factor </w:t>
      </w:r>
      <w:r w:rsidR="007427E1">
        <w:t>can</w:t>
      </w:r>
      <w:r>
        <w:t xml:space="preserve"> be calculated using the formula presented below. The formula converts projected costs to current dollars using the average annual national CPI inflation rate (available from the </w:t>
      </w:r>
      <w:r w:rsidR="003D6792">
        <w:t>BLS</w:t>
      </w:r>
      <w:r>
        <w:t xml:space="preserve"> </w:t>
      </w:r>
      <w:r w:rsidR="0028187E">
        <w:t>Web site</w:t>
      </w:r>
      <w:r>
        <w:t xml:space="preserve"> at </w:t>
      </w:r>
      <w:r>
        <w:rPr>
          <w:u w:val="single"/>
        </w:rPr>
        <w:t>http://www.bls.gov/cpi/</w:t>
      </w:r>
      <w:r>
        <w:t xml:space="preserve">) for the past </w:t>
      </w:r>
      <w:r w:rsidR="007427E1">
        <w:t xml:space="preserve">5 </w:t>
      </w:r>
      <w:r>
        <w:t xml:space="preserve">years. The CPI is used as a simple and reliable method of indexing projected WWT costs and household income. For example, if the most recent </w:t>
      </w:r>
      <w:r w:rsidR="007427E1">
        <w:t>5-</w:t>
      </w:r>
      <w:r>
        <w:t>year average CPI is 4 percent, and the projected annual O&amp;M and debt service costs will begin in 2 years, calculate the adjustment factor as follows:</w:t>
      </w:r>
    </w:p>
    <w:p w:rsidR="007427E1" w:rsidRDefault="00430DFB">
      <w:pPr>
        <w:spacing w:before="120" w:after="240"/>
        <w:rPr>
          <w:rFonts w:cs="Arial"/>
          <w:szCs w:val="20"/>
        </w:rPr>
      </w:pPr>
      <w:r>
        <w:rPr>
          <w:rFonts w:cs="Arial"/>
          <w:noProof/>
          <w:szCs w:val="20"/>
        </w:rPr>
        <mc:AlternateContent>
          <mc:Choice Requires="wps">
            <w:drawing>
              <wp:inline distT="0" distB="0" distL="0" distR="0">
                <wp:extent cx="1323975" cy="1049655"/>
                <wp:effectExtent l="0" t="0" r="0" b="0"/>
                <wp:docPr id="14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049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9D3" w:rsidRDefault="00E659D3" w:rsidP="00B77B3C">
                            <w:pPr>
                              <w:rPr>
                                <w:rFonts w:cs="Arial"/>
                              </w:rPr>
                            </w:pPr>
                            <w:r>
                              <w:rPr>
                                <w:rFonts w:cs="Arial"/>
                                <w:i/>
                                <w:iCs/>
                              </w:rPr>
                              <w:t>Adjustment Factor</w:t>
                            </w:r>
                            <w:r w:rsidRPr="00DB04FE">
                              <w:rPr>
                                <w:rFonts w:cs="Arial"/>
                              </w:rPr>
                              <w:t xml:space="preserve"> = </w:t>
                            </w:r>
                            <w:r w:rsidRPr="00B77B3C">
                              <w:rPr>
                                <w:rFonts w:cs="Arial"/>
                                <w:u w:val="single"/>
                              </w:rPr>
                              <w:t xml:space="preserve">        1          </w:t>
                            </w:r>
                            <w:r w:rsidRPr="00B77B3C">
                              <w:rPr>
                                <w:rFonts w:cs="Arial"/>
                              </w:rPr>
                              <w:t xml:space="preserve"> </w:t>
                            </w:r>
                            <w:r>
                              <w:rPr>
                                <w:rFonts w:cs="Arial"/>
                              </w:rPr>
                              <w:t xml:space="preserve">=    </w:t>
                            </w:r>
                          </w:p>
                          <w:p w:rsidR="00E659D3" w:rsidRDefault="00E659D3" w:rsidP="00B77B3C">
                            <w:pPr>
                              <w:rPr>
                                <w:rFonts w:cs="Arial"/>
                                <w:i/>
                                <w:iCs/>
                                <w:vertAlign w:val="superscript"/>
                              </w:rPr>
                            </w:pPr>
                            <w:r>
                              <w:rPr>
                                <w:rFonts w:cs="Arial"/>
                              </w:rPr>
                              <w:t xml:space="preserve">                                 </w:t>
                            </w:r>
                            <w:r>
                              <w:rPr>
                                <w:rFonts w:cs="Arial"/>
                                <w:i/>
                                <w:iCs/>
                              </w:rPr>
                              <w:t>(1 + CPI)</w:t>
                            </w:r>
                            <w:r>
                              <w:rPr>
                                <w:rFonts w:cs="Arial"/>
                                <w:i/>
                                <w:iCs/>
                                <w:vertAlign w:val="superscript"/>
                              </w:rPr>
                              <w:t>years</w:t>
                            </w:r>
                          </w:p>
                          <w:p w:rsidR="00E659D3" w:rsidRDefault="00E659D3" w:rsidP="00B77B3C">
                            <w:pPr>
                              <w:pStyle w:val="Norma"/>
                            </w:pPr>
                            <w:r>
                              <w:t xml:space="preserve">  </w:t>
                            </w:r>
                            <w:r w:rsidRPr="00B77B3C">
                              <w:rPr>
                                <w:u w:val="single"/>
                              </w:rPr>
                              <w:t xml:space="preserve">      1      </w:t>
                            </w:r>
                            <w:r>
                              <w:t xml:space="preserve">   = .925</w:t>
                            </w:r>
                          </w:p>
                          <w:p w:rsidR="00E659D3" w:rsidRDefault="00E659D3" w:rsidP="00B77B3C">
                            <w:pPr>
                              <w:rPr>
                                <w:rFonts w:cs="Arial"/>
                                <w:vertAlign w:val="superscript"/>
                              </w:rPr>
                            </w:pPr>
                            <w:r>
                              <w:rPr>
                                <w:rFonts w:cs="Arial"/>
                              </w:rPr>
                              <w:t xml:space="preserve">  </w:t>
                            </w:r>
                            <w:r>
                              <w:rPr>
                                <w:rFonts w:cs="Arial"/>
                                <w:i/>
                                <w:iCs/>
                              </w:rPr>
                              <w:t>(1 + .04)</w:t>
                            </w:r>
                            <w:r>
                              <w:rPr>
                                <w:rFonts w:cs="Arial"/>
                                <w:vertAlign w:val="superscript"/>
                              </w:rPr>
                              <w:t>2</w:t>
                            </w:r>
                          </w:p>
                          <w:p w:rsidR="00E659D3" w:rsidRDefault="00E659D3" w:rsidP="00B77B3C"/>
                        </w:txbxContent>
                      </wps:txbx>
                      <wps:bodyPr rot="0" vert="horz" wrap="square" lIns="91440" tIns="45720" rIns="91440" bIns="45720" anchor="t" anchorCtr="0" upright="1">
                        <a:noAutofit/>
                      </wps:bodyPr>
                    </wps:wsp>
                  </a:graphicData>
                </a:graphic>
              </wp:inline>
            </w:drawing>
          </mc:Choice>
          <mc:Fallback>
            <w:pict>
              <v:shape id="Text Box 345" o:spid="_x0000_s1032" type="#_x0000_t202" style="width:104.25pt;height:8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" stroked="f">
                <v:textbox>
                  <w:txbxContent>
                    <w:p w:rsidR="00E659D3" w:rsidRDefault="00E659D3" w:rsidP="00B77B3C">
                      <w:pPr>
                        <w:rPr>
                          <w:rFonts w:cs="Arial"/>
                        </w:rPr>
                      </w:pPr>
                      <w:r>
                        <w:rPr>
                          <w:rFonts w:cs="Arial"/>
                          <w:i/>
                          <w:iCs/>
                        </w:rPr>
                        <w:t>Adjustment Factor</w:t>
                      </w:r>
                      <w:r w:rsidRPr="00DB04FE">
                        <w:rPr>
                          <w:rFonts w:cs="Arial"/>
                        </w:rPr>
                        <w:t xml:space="preserve"> = </w:t>
                      </w:r>
                      <w:r w:rsidRPr="00B77B3C">
                        <w:rPr>
                          <w:rFonts w:cs="Arial"/>
                          <w:u w:val="single"/>
                        </w:rPr>
                        <w:t xml:space="preserve">        1          </w:t>
                      </w:r>
                      <w:r w:rsidRPr="00B77B3C">
                        <w:rPr>
                          <w:rFonts w:cs="Arial"/>
                        </w:rPr>
                        <w:t xml:space="preserve"> </w:t>
                      </w:r>
                      <w:r>
                        <w:rPr>
                          <w:rFonts w:cs="Arial"/>
                        </w:rPr>
                        <w:t xml:space="preserve">=    </w:t>
                      </w:r>
                    </w:p>
                    <w:p w:rsidR="00E659D3" w:rsidRDefault="00E659D3" w:rsidP="00B77B3C">
                      <w:pPr>
                        <w:rPr>
                          <w:rFonts w:cs="Arial"/>
                          <w:i/>
                          <w:iCs/>
                          <w:vertAlign w:val="superscript"/>
                        </w:rPr>
                      </w:pPr>
                      <w:r>
                        <w:rPr>
                          <w:rFonts w:cs="Arial"/>
                        </w:rPr>
                        <w:t xml:space="preserve">                                 </w:t>
                      </w:r>
                      <w:r>
                        <w:rPr>
                          <w:rFonts w:cs="Arial"/>
                          <w:i/>
                          <w:iCs/>
                        </w:rPr>
                        <w:t>(1 + CPI)</w:t>
                      </w:r>
                      <w:r>
                        <w:rPr>
                          <w:rFonts w:cs="Arial"/>
                          <w:i/>
                          <w:iCs/>
                          <w:vertAlign w:val="superscript"/>
                        </w:rPr>
                        <w:t>years</w:t>
                      </w:r>
                    </w:p>
                    <w:p w:rsidR="00E659D3" w:rsidRDefault="00E659D3" w:rsidP="00B77B3C">
                      <w:pPr>
                        <w:pStyle w:val="Norma"/>
                      </w:pPr>
                      <w:r>
                        <w:t xml:space="preserve">  </w:t>
                      </w:r>
                      <w:r w:rsidRPr="00B77B3C">
                        <w:rPr>
                          <w:u w:val="single"/>
                        </w:rPr>
                        <w:t xml:space="preserve">      1      </w:t>
                      </w:r>
                      <w:r>
                        <w:t xml:space="preserve">   = .925</w:t>
                      </w:r>
                    </w:p>
                    <w:p w:rsidR="00E659D3" w:rsidRDefault="00E659D3" w:rsidP="00B77B3C">
                      <w:pPr>
                        <w:rPr>
                          <w:rFonts w:cs="Arial"/>
                          <w:vertAlign w:val="superscript"/>
                        </w:rPr>
                      </w:pPr>
                      <w:r>
                        <w:rPr>
                          <w:rFonts w:cs="Arial"/>
                        </w:rPr>
                        <w:t xml:space="preserve">  </w:t>
                      </w:r>
                      <w:r>
                        <w:rPr>
                          <w:rFonts w:cs="Arial"/>
                          <w:i/>
                          <w:iCs/>
                        </w:rPr>
                        <w:t>(1 + .04)</w:t>
                      </w:r>
                      <w:r>
                        <w:rPr>
                          <w:rFonts w:cs="Arial"/>
                          <w:vertAlign w:val="superscript"/>
                        </w:rPr>
                        <w:t>2</w:t>
                      </w:r>
                    </w:p>
                    <w:p w:rsidR="00E659D3" w:rsidRDefault="00E659D3" w:rsidP="00B77B3C"/>
                  </w:txbxContent>
                </v:textbox>
                <w10:anchorlock/>
              </v:shape>
            </w:pict>
          </mc:Fallback>
        </mc:AlternateContent>
      </w:r>
    </w:p>
    <w:p w:rsidR="00E17BF3" w:rsidRDefault="00E17BF3" w:rsidP="0025141C">
      <w:pPr>
        <w:pStyle w:val="BodyText"/>
      </w:pPr>
      <w:r w:rsidRPr="00FA6577">
        <w:rPr>
          <w:rStyle w:val="Bold"/>
        </w:rPr>
        <w:t xml:space="preserve">Line 6 – Present value of projected costs. </w:t>
      </w:r>
      <w:r>
        <w:t xml:space="preserve">Multiply the projected annual </w:t>
      </w:r>
      <w:r w:rsidR="00E82838">
        <w:t>O&amp;M</w:t>
      </w:r>
      <w:r>
        <w:t xml:space="preserve"> expenses on Line 4 by the present value adjustment factor on Line 5 and enter </w:t>
      </w:r>
      <w:r w:rsidR="00F3408C">
        <w:t xml:space="preserve">the result </w:t>
      </w:r>
      <w:r>
        <w:t>on Line 6.</w:t>
      </w:r>
    </w:p>
    <w:p w:rsidR="00E17BF3" w:rsidRDefault="00E17BF3" w:rsidP="00FA6577">
      <w:pPr>
        <w:pStyle w:val="BodyText"/>
      </w:pPr>
      <w:r w:rsidRPr="00FA6577">
        <w:rPr>
          <w:rStyle w:val="Bold"/>
        </w:rPr>
        <w:t>Line 7 – Projected costs.</w:t>
      </w:r>
      <w:r>
        <w:t xml:space="preserve"> Enter the projected debt costs for the proposed WWT</w:t>
      </w:r>
      <w:r w:rsidRPr="0025141C">
        <w:t xml:space="preserve"> </w:t>
      </w:r>
      <w:r>
        <w:t>projects and CSO controls on Line 7.</w:t>
      </w:r>
    </w:p>
    <w:p w:rsidR="00E17BF3" w:rsidRDefault="00E17BF3" w:rsidP="00FA6577">
      <w:pPr>
        <w:pStyle w:val="BodyText"/>
      </w:pPr>
      <w:r w:rsidRPr="00FA6577">
        <w:rPr>
          <w:rStyle w:val="Bold"/>
        </w:rPr>
        <w:t xml:space="preserve">Line 8 – Annualization factor. </w:t>
      </w:r>
      <w:r>
        <w:t>Enter an annualization factor (AF) that reflects the local borrowing interest rate (</w:t>
      </w:r>
      <w:r w:rsidRPr="00FA6577">
        <w:rPr>
          <w:rStyle w:val="italic"/>
        </w:rPr>
        <w:t>IR</w:t>
      </w:r>
      <w:r>
        <w:t>) and borrowing term of the permittee</w:t>
      </w:r>
      <w:r w:rsidRPr="007427E1">
        <w:t xml:space="preserve">. Calculate the factor using the following </w:t>
      </w:r>
      <w:r w:rsidRPr="007427E1">
        <w:t>formula:</w:t>
      </w:r>
      <w:r w:rsidR="00430DFB">
        <w:rPr>
          <w:b/>
          <w:noProof/>
        </w:rPr>
        <mc:AlternateContent>
          <mc:Choice Requires="wpg">
            <w:drawing>
              <wp:inline distT="0" distB="0" distL="0" distR="0">
                <wp:extent cx="1828800" cy="457200"/>
                <wp:effectExtent l="0" t="3175" r="0" b="0"/>
                <wp:docPr id="13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457200"/>
                          <a:chOff x="4568" y="1620"/>
                          <a:chExt cx="2880" cy="720"/>
                        </a:xfrm>
                      </wpg:grpSpPr>
                      <wps:wsp>
                        <wps:cNvPr id="138" name="Text Box 171"/>
                        <wps:cNvSpPr txBox="1">
                          <a:spLocks noChangeArrowheads="1"/>
                        </wps:cNvSpPr>
                        <wps:spPr bwMode="auto">
                          <a:xfrm>
                            <a:off x="4568" y="1620"/>
                            <a:ext cx="28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9D3" w:rsidRDefault="00E659D3" w:rsidP="007427E1">
                              <w:r w:rsidRPr="007427E1">
                                <w:rPr>
                                  <w:i/>
                                </w:rPr>
                                <w:t>AF</w:t>
                              </w:r>
                              <w:r>
                                <w:t xml:space="preserve"> =        </w:t>
                              </w:r>
                              <w:r w:rsidRPr="007427E1">
                                <w:rPr>
                                  <w:i/>
                                </w:rPr>
                                <w:t>IR</w:t>
                              </w:r>
                              <w:r>
                                <w:t xml:space="preserve">            </w:t>
                              </w:r>
                            </w:p>
                            <w:p w:rsidR="00E659D3" w:rsidRDefault="00E659D3" w:rsidP="007427E1">
                              <w:pPr>
                                <w:pStyle w:val="Norma"/>
                                <w:rPr>
                                  <w:rFonts w:cs="Times New Roman"/>
                                </w:rPr>
                              </w:pPr>
                              <w:r>
                                <w:rPr>
                                  <w:rFonts w:cs="Times New Roman"/>
                                </w:rPr>
                                <w:t xml:space="preserve">         (1 + </w:t>
                              </w:r>
                              <w:r w:rsidRPr="007427E1">
                                <w:rPr>
                                  <w:rFonts w:cs="Times New Roman"/>
                                  <w:i/>
                                </w:rPr>
                                <w:t>IR</w:t>
                              </w:r>
                              <w:r>
                                <w:rPr>
                                  <w:rFonts w:cs="Times New Roman"/>
                                </w:rPr>
                                <w:t>)</w:t>
                              </w:r>
                              <w:r>
                                <w:rPr>
                                  <w:rFonts w:cs="Times New Roman"/>
                                  <w:i/>
                                  <w:iCs/>
                                  <w:vertAlign w:val="superscript"/>
                                </w:rPr>
                                <w:t>years</w:t>
                              </w:r>
                              <w:r>
                                <w:rPr>
                                  <w:rFonts w:cs="Times New Roman"/>
                                </w:rPr>
                                <w:t xml:space="preserve"> – 1  </w:t>
                              </w:r>
                              <w:r>
                                <w:rPr>
                                  <w:position w:val="10"/>
                                </w:rPr>
                                <w:t xml:space="preserve">+ </w:t>
                              </w:r>
                              <w:r w:rsidRPr="007427E1">
                                <w:rPr>
                                  <w:i/>
                                  <w:position w:val="10"/>
                                </w:rPr>
                                <w:t>IR</w:t>
                              </w:r>
                            </w:p>
                          </w:txbxContent>
                        </wps:txbx>
                        <wps:bodyPr rot="0" vert="horz" wrap="square" lIns="91440" tIns="45720" rIns="91440" bIns="45720" anchor="t" anchorCtr="0" upright="1">
                          <a:noAutofit/>
                        </wps:bodyPr>
                      </wps:wsp>
                      <wps:wsp>
                        <wps:cNvPr id="139" name="Line 172"/>
                        <wps:cNvCnPr>
                          <a:cxnSpLocks noChangeShapeType="1"/>
                        </wps:cNvCnPr>
                        <wps:spPr bwMode="auto">
                          <a:xfrm>
                            <a:off x="5220" y="1980"/>
                            <a:ext cx="10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0" o:spid="_x0000_s1033" style="width:2in;height:36pt;mso-position-horizontal-relative:char;mso-position-vertical-relative:line" coordorigin="4568,1620" coordsize="28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">
                <v:shape id="Text Box 171" o:spid="_x0000_s1034" type="#_x0000_t202" style="position:absolute;left:4568;top:1620;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rsidR="00E659D3" w:rsidRDefault="00E659D3" w:rsidP="007427E1">
                        <w:r w:rsidRPr="007427E1">
                          <w:rPr>
                            <w:i/>
                          </w:rPr>
                          <w:t>AF</w:t>
                        </w:r>
                        <w:r>
                          <w:t xml:space="preserve"> =        </w:t>
                        </w:r>
                        <w:r w:rsidRPr="007427E1">
                          <w:rPr>
                            <w:i/>
                          </w:rPr>
                          <w:t>IR</w:t>
                        </w:r>
                        <w:r>
                          <w:t xml:space="preserve">            </w:t>
                        </w:r>
                      </w:p>
                      <w:p w:rsidR="00E659D3" w:rsidRDefault="00E659D3" w:rsidP="007427E1">
                        <w:pPr>
                          <w:pStyle w:val="Norma"/>
                          <w:rPr>
                            <w:rFonts w:cs="Times New Roman"/>
                          </w:rPr>
                        </w:pPr>
                        <w:r>
                          <w:rPr>
                            <w:rFonts w:cs="Times New Roman"/>
                          </w:rPr>
                          <w:t xml:space="preserve">         (1 + </w:t>
                        </w:r>
                        <w:r w:rsidRPr="007427E1">
                          <w:rPr>
                            <w:rFonts w:cs="Times New Roman"/>
                            <w:i/>
                          </w:rPr>
                          <w:t>IR</w:t>
                        </w:r>
                        <w:r>
                          <w:rPr>
                            <w:rFonts w:cs="Times New Roman"/>
                          </w:rPr>
                          <w:t>)</w:t>
                        </w:r>
                        <w:r>
                          <w:rPr>
                            <w:rFonts w:cs="Times New Roman"/>
                            <w:i/>
                            <w:iCs/>
                            <w:vertAlign w:val="superscript"/>
                          </w:rPr>
                          <w:t>years</w:t>
                        </w:r>
                        <w:r>
                          <w:rPr>
                            <w:rFonts w:cs="Times New Roman"/>
                          </w:rPr>
                          <w:t xml:space="preserve"> – 1  </w:t>
                        </w:r>
                        <w:r>
                          <w:rPr>
                            <w:position w:val="10"/>
                          </w:rPr>
                          <w:t xml:space="preserve">+ </w:t>
                        </w:r>
                        <w:r w:rsidRPr="007427E1">
                          <w:rPr>
                            <w:i/>
                            <w:position w:val="10"/>
                          </w:rPr>
                          <w:t>IR</w:t>
                        </w:r>
                      </w:p>
                    </w:txbxContent>
                  </v:textbox>
                </v:shape>
                <v:line id="Line 172" o:spid="_x0000_s1035" style="position:absolute;visibility:visible;mso-wrap-style:square" from="5220,1980" to="6281,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w10:anchorlock/>
              </v:group>
            </w:pict>
          </mc:Fallback>
        </mc:AlternateContent>
      </w:r>
    </w:p>
    <w:p w:rsidR="00E17BF3" w:rsidRDefault="00E17BF3" w:rsidP="00FA6577">
      <w:pPr>
        <w:pStyle w:val="BodyText"/>
      </w:pPr>
      <w:r w:rsidRPr="00FA6577">
        <w:rPr>
          <w:rStyle w:val="Bold"/>
        </w:rPr>
        <w:t xml:space="preserve">Line 9 – Projected annual debt service (principal and interest). </w:t>
      </w:r>
      <w:r>
        <w:t>Multiply the projected debt cost on Line 7 by the annualization factor on Line 8, and enter the result on Line 9.</w:t>
      </w:r>
    </w:p>
    <w:p w:rsidR="00E17BF3" w:rsidRDefault="00E17BF3" w:rsidP="00FA6577">
      <w:pPr>
        <w:pStyle w:val="BodyText"/>
      </w:pPr>
      <w:r w:rsidRPr="00FA6577">
        <w:rPr>
          <w:rStyle w:val="Bold"/>
        </w:rPr>
        <w:t xml:space="preserve">Line 10 – Projected costs. </w:t>
      </w:r>
      <w:r>
        <w:t>Add the present value of projected costs on Line 6 to the projected annual debt service on Line 9, and enter the result on Line 10.</w:t>
      </w:r>
    </w:p>
    <w:p w:rsidR="0062037C" w:rsidRDefault="00E17BF3" w:rsidP="00FA6577">
      <w:pPr>
        <w:pStyle w:val="BodyText"/>
      </w:pPr>
      <w:r w:rsidRPr="00FA6577">
        <w:rPr>
          <w:rStyle w:val="Bold"/>
        </w:rPr>
        <w:t>Line 11 – Total current and projected WWT and CSO costs</w:t>
      </w:r>
      <w:r>
        <w:t>. Add the current costs on Line 3 to the projected costs on Line 10. Enter the result on Line 11</w:t>
      </w:r>
      <w:r w:rsidR="0062037C">
        <w:t>.</w:t>
      </w:r>
    </w:p>
    <w:p w:rsidR="00E17BF3" w:rsidRDefault="00E17BF3" w:rsidP="003859D2">
      <w:pPr>
        <w:pStyle w:val="Heading2"/>
        <w:rPr>
          <w:szCs w:val="20"/>
        </w:rPr>
      </w:pPr>
      <w:bookmarkStart w:id="234" w:name="_Toc243725282"/>
      <w:bookmarkStart w:id="235" w:name="_Toc243809464"/>
      <w:bookmarkStart w:id="236" w:name="_Toc285015628"/>
      <w:r>
        <w:t>Cost Per Household</w:t>
      </w:r>
      <w:bookmarkEnd w:id="234"/>
      <w:bookmarkEnd w:id="235"/>
      <w:bookmarkEnd w:id="236"/>
    </w:p>
    <w:p w:rsidR="00E17BF3" w:rsidRDefault="00E17BF3" w:rsidP="00FA6577">
      <w:pPr>
        <w:pStyle w:val="BodyText"/>
      </w:pPr>
      <w:r w:rsidRPr="00FA6577">
        <w:rPr>
          <w:rStyle w:val="Bold"/>
        </w:rPr>
        <w:t xml:space="preserve">Line 12 – Residential WWT flow (MGD). </w:t>
      </w:r>
      <w:r>
        <w:t xml:space="preserve">Enter the portion of wastewater flow (including </w:t>
      </w:r>
      <w:r w:rsidR="007427E1">
        <w:t>I/I</w:t>
      </w:r>
      <w:r>
        <w:t>) in MGD attributable to residential users.</w:t>
      </w:r>
    </w:p>
    <w:p w:rsidR="00E17BF3" w:rsidRDefault="00E17BF3" w:rsidP="00FA6577">
      <w:pPr>
        <w:pStyle w:val="bullet"/>
      </w:pPr>
      <w:r w:rsidRPr="00FA6577">
        <w:rPr>
          <w:rStyle w:val="Bold"/>
        </w:rPr>
        <w:t xml:space="preserve">Line 13 – Total WWT flow (MGD). </w:t>
      </w:r>
      <w:r>
        <w:t xml:space="preserve">Enter the total wastewater flow at the </w:t>
      </w:r>
      <w:r w:rsidR="005A3962" w:rsidRPr="005A3962">
        <w:t>WWT</w:t>
      </w:r>
      <w:r w:rsidR="005A3962">
        <w:t>P</w:t>
      </w:r>
      <w:r>
        <w:t xml:space="preserve"> in MGD.</w:t>
      </w:r>
    </w:p>
    <w:p w:rsidR="00E17BF3" w:rsidRDefault="00E17BF3" w:rsidP="00FA6577">
      <w:pPr>
        <w:pStyle w:val="BodyText"/>
      </w:pPr>
      <w:r w:rsidRPr="00FA6577">
        <w:rPr>
          <w:rStyle w:val="Bold"/>
        </w:rPr>
        <w:t xml:space="preserve">Line 14 – Fraction of total WWT flow attributable to residential users. </w:t>
      </w:r>
      <w:r>
        <w:t>Divide the residential flow on Line 12 by the total flow on Line 13 and enter the result on Line 14. The</w:t>
      </w:r>
      <w:r w:rsidR="001E3E5B">
        <w:t xml:space="preserve"> result should be between 0 and</w:t>
      </w:r>
      <w:r>
        <w:t>1.</w:t>
      </w:r>
    </w:p>
    <w:p w:rsidR="00E17BF3" w:rsidRDefault="00E17BF3" w:rsidP="00FA6577">
      <w:pPr>
        <w:pStyle w:val="BodyText"/>
      </w:pPr>
      <w:r w:rsidRPr="00FA6577">
        <w:rPr>
          <w:rStyle w:val="Bold"/>
        </w:rPr>
        <w:t>Line 15 – Residential share of total WWT and CSO costs.</w:t>
      </w:r>
      <w:r>
        <w:t xml:space="preserve"> Multiply the total current and projected WWT and CSO costs on Line 11 by the fraction of total WWT flow attributable to residential users on Line 14, and enter the result on Line 15.</w:t>
      </w:r>
    </w:p>
    <w:p w:rsidR="00E17BF3" w:rsidRDefault="00E17BF3" w:rsidP="00FA6577">
      <w:pPr>
        <w:pStyle w:val="BodyText"/>
      </w:pPr>
      <w:r w:rsidRPr="00FA6577">
        <w:rPr>
          <w:rStyle w:val="Bold"/>
        </w:rPr>
        <w:t xml:space="preserve">Line 16 – Number of households in service area. </w:t>
      </w:r>
      <w:r>
        <w:t xml:space="preserve">Enter the number of households </w:t>
      </w:r>
      <w:r>
        <w:t>associated with the residential flow.</w:t>
      </w:r>
    </w:p>
    <w:p w:rsidR="00E17BF3" w:rsidRDefault="00E17BF3" w:rsidP="00FA6577">
      <w:pPr>
        <w:pStyle w:val="BodyText"/>
        <w:rPr>
          <w:spacing w:val="4"/>
        </w:rPr>
      </w:pPr>
      <w:r w:rsidRPr="00FA6577">
        <w:rPr>
          <w:rStyle w:val="Bold"/>
        </w:rPr>
        <w:t xml:space="preserve">Line 17 - </w:t>
      </w:r>
      <w:r>
        <w:rPr>
          <w:b/>
          <w:spacing w:val="4"/>
        </w:rPr>
        <w:t xml:space="preserve">Cost per household (CPH). </w:t>
      </w:r>
      <w:r>
        <w:t xml:space="preserve">Calculate the CPH by dividing the residential share of total WWT and CSO costs on Line 15 by the </w:t>
      </w:r>
      <w:r>
        <w:rPr>
          <w:spacing w:val="4"/>
        </w:rPr>
        <w:t>number of households in the service area on Line 16.</w:t>
      </w:r>
      <w:r w:rsidR="00F3408C">
        <w:rPr>
          <w:spacing w:val="4"/>
        </w:rPr>
        <w:t xml:space="preserve"> Enter the result on Line 17.</w:t>
      </w:r>
    </w:p>
    <w:p w:rsidR="0062037C" w:rsidRDefault="00E17BF3" w:rsidP="003859D2">
      <w:pPr>
        <w:pStyle w:val="Heading2"/>
        <w:rPr>
          <w:spacing w:val="2"/>
          <w:szCs w:val="20"/>
        </w:rPr>
      </w:pPr>
      <w:bookmarkStart w:id="237" w:name="_Toc127078275"/>
      <w:bookmarkStart w:id="238" w:name="_Toc243725283"/>
      <w:bookmarkStart w:id="239" w:name="_Toc243809465"/>
      <w:bookmarkStart w:id="240" w:name="_Toc285015629"/>
      <w:r>
        <w:t>Median Household Income (MHI)</w:t>
      </w:r>
      <w:bookmarkEnd w:id="237"/>
      <w:bookmarkEnd w:id="238"/>
      <w:bookmarkEnd w:id="239"/>
      <w:bookmarkEnd w:id="240"/>
    </w:p>
    <w:p w:rsidR="0062037C" w:rsidRDefault="00E17BF3" w:rsidP="0025141C">
      <w:pPr>
        <w:pStyle w:val="BodyText"/>
      </w:pPr>
      <w:r>
        <w:t>The second step in developing the Residential Indicator is to determine the adjusted MHI for the permittee's entire wastewater service area</w:t>
      </w:r>
      <w:r w:rsidR="0062037C">
        <w:t>.</w:t>
      </w:r>
    </w:p>
    <w:p w:rsidR="0062037C" w:rsidRDefault="00E17BF3" w:rsidP="0025141C">
      <w:pPr>
        <w:pStyle w:val="BodyText"/>
      </w:pPr>
      <w:r>
        <w:t>MHI is available for most communities from the latest census. In the few cases where a local jurisdiction's MHI is not available, the surrounding county's MHI m</w:t>
      </w:r>
      <w:r w:rsidR="00F3408C">
        <w:t>ight</w:t>
      </w:r>
      <w:r>
        <w:t xml:space="preserve"> be sufficient. Each state has a state data center that serves as a local source of census data for public use</w:t>
      </w:r>
      <w:r w:rsidR="0062037C">
        <w:t>.</w:t>
      </w:r>
    </w:p>
    <w:p w:rsidR="0062037C" w:rsidRPr="00FA6577" w:rsidRDefault="00E17BF3" w:rsidP="0025141C">
      <w:pPr>
        <w:pStyle w:val="BodyText"/>
        <w:rPr>
          <w:rStyle w:val="italic"/>
        </w:rPr>
      </w:pPr>
      <w:r w:rsidRPr="00FA6577">
        <w:rPr>
          <w:rStyle w:val="Bold"/>
        </w:rPr>
        <w:t>Line 18 – Census Year MHI.</w:t>
      </w:r>
      <w:r>
        <w:t xml:space="preserve"> Enter the MHI value from the most recent census year for the service area. The Census Bureau’s designated MHI areas generally encompass most permittees' service areas. If the permittee's service area includes more than one jurisdiction, a weighted MHI for the entire service area </w:t>
      </w:r>
      <w:r w:rsidR="00F3408C">
        <w:t>could</w:t>
      </w:r>
      <w:r>
        <w:t xml:space="preserve"> be needed. Additional instructions on develop</w:t>
      </w:r>
      <w:r w:rsidR="00F3408C">
        <w:t>ing</w:t>
      </w:r>
      <w:r>
        <w:t xml:space="preserve"> a weighted MHI </w:t>
      </w:r>
      <w:r w:rsidR="00F3408C">
        <w:t>is</w:t>
      </w:r>
      <w:r>
        <w:t xml:space="preserve"> in EPA’s previously referenced </w:t>
      </w:r>
      <w:r w:rsidRPr="00FA6577">
        <w:rPr>
          <w:rStyle w:val="italic"/>
        </w:rPr>
        <w:t>Combined Sewer Overflows</w:t>
      </w:r>
      <w:r w:rsidR="00F3408C" w:rsidRPr="00FA6577">
        <w:rPr>
          <w:rStyle w:val="italic"/>
        </w:rPr>
        <w:t>—</w:t>
      </w:r>
      <w:r w:rsidRPr="00FA6577">
        <w:rPr>
          <w:rStyle w:val="italic"/>
        </w:rPr>
        <w:t>Guidance for Financial Capability Assessment and Schedule Development</w:t>
      </w:r>
      <w:r w:rsidR="0062037C" w:rsidRPr="00FA6577">
        <w:rPr>
          <w:rStyle w:val="italic"/>
        </w:rPr>
        <w:t>.</w:t>
      </w:r>
    </w:p>
    <w:p w:rsidR="00E17BF3" w:rsidRDefault="00E17BF3" w:rsidP="00FA6577">
      <w:pPr>
        <w:pStyle w:val="BodyText"/>
      </w:pPr>
      <w:r w:rsidRPr="00FA6577">
        <w:rPr>
          <w:rStyle w:val="Bold"/>
        </w:rPr>
        <w:t>Line 19 - MHI adjustment factor.</w:t>
      </w:r>
      <w:r>
        <w:t xml:space="preserve"> The</w:t>
      </w:r>
      <w:r w:rsidRPr="00FA6577">
        <w:rPr>
          <w:rStyle w:val="Bold"/>
        </w:rPr>
        <w:t xml:space="preserve"> </w:t>
      </w:r>
      <w:r>
        <w:t xml:space="preserve">MHI adjustment factor </w:t>
      </w:r>
      <w:r w:rsidR="00F3408C">
        <w:t xml:space="preserve">converts </w:t>
      </w:r>
      <w:r>
        <w:t xml:space="preserve">the MHI from the latest census year to current dollars </w:t>
      </w:r>
      <w:r w:rsidR="009C4534">
        <w:t>on</w:t>
      </w:r>
      <w:r>
        <w:t xml:space="preserve"> </w:t>
      </w:r>
      <w:r w:rsidR="009C4534" w:rsidRPr="009C4534">
        <w:t xml:space="preserve">the basis of </w:t>
      </w:r>
      <w:r>
        <w:t xml:space="preserve">the CPI inflation rate from the latest census year to the present. The </w:t>
      </w:r>
      <w:r>
        <w:lastRenderedPageBreak/>
        <w:t xml:space="preserve">MHI </w:t>
      </w:r>
      <w:r w:rsidRPr="009341BB">
        <w:t>adjustment factor can be taken from Table CAF-3</w:t>
      </w:r>
      <w:r w:rsidR="009341BB" w:rsidRPr="009341BB">
        <w:t xml:space="preserve"> (from EPA 1997)</w:t>
      </w:r>
      <w:r w:rsidRPr="009341BB">
        <w:t xml:space="preserve"> or</w:t>
      </w:r>
      <w:r>
        <w:t xml:space="preserve"> calculated using the formula below:</w:t>
      </w:r>
    </w:p>
    <w:p w:rsidR="007427E1" w:rsidRDefault="00430DFB" w:rsidP="00FA6577">
      <w:pPr>
        <w:pStyle w:val="BodyText"/>
      </w:pPr>
      <w:r>
        <w:rPr>
          <w:noProof/>
        </w:rPr>
        <mc:AlternateContent>
          <mc:Choice Requires="wps">
            <w:drawing>
              <wp:inline distT="0" distB="0" distL="0" distR="0">
                <wp:extent cx="1943100" cy="528320"/>
                <wp:effectExtent l="0" t="3175" r="0" b="1905"/>
                <wp:docPr id="13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9D3" w:rsidRDefault="00E659D3">
                            <w:pPr>
                              <w:pStyle w:val="IndexHeading"/>
                              <w:jc w:val="center"/>
                              <w:rPr>
                                <w:rFonts w:cs="Arial"/>
                              </w:rPr>
                            </w:pPr>
                            <w:r>
                              <w:rPr>
                                <w:rFonts w:cs="Arial"/>
                              </w:rPr>
                              <w:t>MHI Adjustment Factor =</w:t>
                            </w:r>
                          </w:p>
                          <w:p w:rsidR="00E659D3" w:rsidRDefault="00E659D3">
                            <w:pPr>
                              <w:spacing w:before="120"/>
                              <w:jc w:val="center"/>
                            </w:pPr>
                            <w:r>
                              <w:rPr>
                                <w:rFonts w:cs="Arial"/>
                              </w:rPr>
                              <w:t>(1 + CPI)</w:t>
                            </w:r>
                            <w:r>
                              <w:rPr>
                                <w:rFonts w:cs="Arial"/>
                                <w:vertAlign w:val="superscript"/>
                              </w:rPr>
                              <w:t>Current Year – Census Year</w:t>
                            </w:r>
                          </w:p>
                        </w:txbxContent>
                      </wps:txbx>
                      <wps:bodyPr rot="0" vert="horz" wrap="square" lIns="91440" tIns="45720" rIns="91440" bIns="45720" anchor="t" anchorCtr="0" upright="1">
                        <a:noAutofit/>
                      </wps:bodyPr>
                    </wps:wsp>
                  </a:graphicData>
                </a:graphic>
              </wp:inline>
            </w:drawing>
          </mc:Choice>
          <mc:Fallback>
            <w:pict>
              <v:shape id="Text Box 344" o:spid="_x0000_s1036" type="#_x0000_t202" style="width:153pt;height: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" filled="f" stroked="f">
                <v:textbox>
                  <w:txbxContent>
                    <w:p w:rsidR="00E659D3" w:rsidRDefault="00E659D3">
                      <w:pPr>
                        <w:pStyle w:val="IndexHeading"/>
                        <w:jc w:val="center"/>
                        <w:rPr>
                          <w:rFonts w:cs="Arial"/>
                        </w:rPr>
                      </w:pPr>
                      <w:r>
                        <w:rPr>
                          <w:rFonts w:cs="Arial"/>
                        </w:rPr>
                        <w:t>MHI Adjustment Factor =</w:t>
                      </w:r>
                    </w:p>
                    <w:p w:rsidR="00E659D3" w:rsidRDefault="00E659D3">
                      <w:pPr>
                        <w:spacing w:before="120"/>
                        <w:jc w:val="center"/>
                      </w:pPr>
                      <w:r>
                        <w:rPr>
                          <w:rFonts w:cs="Arial"/>
                        </w:rPr>
                        <w:t>(1 + CPI)</w:t>
                      </w:r>
                      <w:r>
                        <w:rPr>
                          <w:rFonts w:cs="Arial"/>
                          <w:vertAlign w:val="superscript"/>
                        </w:rPr>
                        <w:t>Current Year – Census Year</w:t>
                      </w:r>
                    </w:p>
                  </w:txbxContent>
                </v:textbox>
                <w10:anchorlock/>
              </v:shape>
            </w:pict>
          </mc:Fallback>
        </mc:AlternateContent>
      </w:r>
      <w:r w:rsidR="00E17BF3">
        <w:t>For example, if a permittee's MHI was taken for the 1990 census year, the average annual CPI since 1990 was 4 percent and the current year is 1992, the adjustment factor would be 1.0816:</w:t>
      </w:r>
    </w:p>
    <w:p w:rsidR="0062037C" w:rsidRDefault="00430DFB" w:rsidP="007427E1">
      <w:pPr>
        <w:pStyle w:val="Norma"/>
        <w:spacing w:before="120" w:after="120"/>
        <w:rPr>
          <w:szCs w:val="20"/>
        </w:rPr>
      </w:pPr>
      <w:r>
        <w:rPr>
          <w:b/>
          <w:bCs/>
          <w:noProof/>
          <w:szCs w:val="20"/>
        </w:rPr>
        <mc:AlternateContent>
          <mc:Choice Requires="wps">
            <w:drawing>
              <wp:inline distT="0" distB="0" distL="0" distR="0">
                <wp:extent cx="1943100" cy="441960"/>
                <wp:effectExtent l="0" t="1270" r="0" b="4445"/>
                <wp:docPr id="13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9D3" w:rsidRDefault="00E659D3" w:rsidP="007427E1">
                            <w:pPr>
                              <w:pStyle w:val="IndexHeading"/>
                              <w:jc w:val="center"/>
                              <w:rPr>
                                <w:rFonts w:cs="Arial"/>
                              </w:rPr>
                            </w:pPr>
                            <w:r>
                              <w:rPr>
                                <w:rFonts w:cs="Arial"/>
                              </w:rPr>
                              <w:t>MHI Adjustment Factor =</w:t>
                            </w:r>
                          </w:p>
                          <w:p w:rsidR="00E659D3" w:rsidRDefault="00E659D3" w:rsidP="007427E1">
                            <w:pPr>
                              <w:spacing w:before="120"/>
                              <w:jc w:val="center"/>
                            </w:pPr>
                            <w:r>
                              <w:rPr>
                                <w:rFonts w:cs="Arial"/>
                              </w:rPr>
                              <w:t>(1 + .04)</w:t>
                            </w:r>
                            <w:r>
                              <w:rPr>
                                <w:rFonts w:cs="Arial"/>
                                <w:vertAlign w:val="superscript"/>
                              </w:rPr>
                              <w:t xml:space="preserve">1992-1990 </w:t>
                            </w:r>
                            <w:r>
                              <w:rPr>
                                <w:rFonts w:cs="Arial"/>
                              </w:rPr>
                              <w:t>= 1.0816</w:t>
                            </w:r>
                          </w:p>
                        </w:txbxContent>
                      </wps:txbx>
                      <wps:bodyPr rot="0" vert="horz" wrap="square" lIns="91440" tIns="45720" rIns="91440" bIns="45720" anchor="t" anchorCtr="0" upright="1">
                        <a:noAutofit/>
                      </wps:bodyPr>
                    </wps:wsp>
                  </a:graphicData>
                </a:graphic>
              </wp:inline>
            </w:drawing>
          </mc:Choice>
          <mc:Fallback>
            <w:pict>
              <v:shape id="Text Box 343" o:spid="_x0000_s1037" type="#_x0000_t202" style="width:153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nBug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" filled="f" stroked="f">
                <v:textbox>
                  <w:txbxContent>
                    <w:p w:rsidR="00E659D3" w:rsidRDefault="00E659D3" w:rsidP="007427E1">
                      <w:pPr>
                        <w:pStyle w:val="IndexHeading"/>
                        <w:jc w:val="center"/>
                        <w:rPr>
                          <w:rFonts w:cs="Arial"/>
                        </w:rPr>
                      </w:pPr>
                      <w:r>
                        <w:rPr>
                          <w:rFonts w:cs="Arial"/>
                        </w:rPr>
                        <w:t>MHI Adjustment Factor =</w:t>
                      </w:r>
                    </w:p>
                    <w:p w:rsidR="00E659D3" w:rsidRDefault="00E659D3" w:rsidP="007427E1">
                      <w:pPr>
                        <w:spacing w:before="120"/>
                        <w:jc w:val="center"/>
                      </w:pPr>
                      <w:r>
                        <w:rPr>
                          <w:rFonts w:cs="Arial"/>
                        </w:rPr>
                        <w:t>(1 + .04)</w:t>
                      </w:r>
                      <w:r>
                        <w:rPr>
                          <w:rFonts w:cs="Arial"/>
                          <w:vertAlign w:val="superscript"/>
                        </w:rPr>
                        <w:t xml:space="preserve">1992-1990 </w:t>
                      </w:r>
                      <w:r>
                        <w:rPr>
                          <w:rFonts w:cs="Arial"/>
                        </w:rPr>
                        <w:t>= 1.0816</w:t>
                      </w:r>
                    </w:p>
                  </w:txbxContent>
                </v:textbox>
                <w10:anchorlock/>
              </v:shape>
            </w:pict>
          </mc:Fallback>
        </mc:AlternateContent>
      </w:r>
    </w:p>
    <w:p w:rsidR="00E17BF3" w:rsidRDefault="00E17BF3" w:rsidP="00FA6577">
      <w:pPr>
        <w:pStyle w:val="BodyText"/>
      </w:pPr>
      <w:r w:rsidRPr="00FA6577">
        <w:rPr>
          <w:rStyle w:val="Bold"/>
        </w:rPr>
        <w:t>Line 20 - Adjusted MHI.</w:t>
      </w:r>
      <w:r>
        <w:t xml:space="preserve"> Multiply the Census Year MHI in Line 18 by the MHI adjustment factor in Line 19</w:t>
      </w:r>
      <w:r w:rsidR="00F3408C">
        <w:t>,</w:t>
      </w:r>
      <w:r>
        <w:t xml:space="preserve"> and enter the result in Line 20.</w:t>
      </w:r>
    </w:p>
    <w:p w:rsidR="00E17BF3" w:rsidRDefault="00E17BF3" w:rsidP="003859D2">
      <w:pPr>
        <w:pStyle w:val="Heading2"/>
        <w:rPr>
          <w:szCs w:val="20"/>
        </w:rPr>
      </w:pPr>
      <w:bookmarkStart w:id="241" w:name="_Toc127078277"/>
      <w:bookmarkStart w:id="242" w:name="_Toc243725284"/>
      <w:bookmarkStart w:id="243" w:name="_Toc243809466"/>
      <w:bookmarkStart w:id="244" w:name="_Toc285015630"/>
      <w:r>
        <w:t>Residential Indicator</w:t>
      </w:r>
      <w:bookmarkEnd w:id="241"/>
      <w:bookmarkEnd w:id="242"/>
      <w:bookmarkEnd w:id="243"/>
      <w:bookmarkEnd w:id="244"/>
    </w:p>
    <w:p w:rsidR="00E17BF3" w:rsidRDefault="00E17BF3" w:rsidP="00FA6577">
      <w:pPr>
        <w:pStyle w:val="BodyText"/>
      </w:pPr>
      <w:r>
        <w:rPr>
          <w:b/>
          <w:bCs/>
          <w:noProof/>
          <w:spacing w:val="-6"/>
          <w:kern w:val="144"/>
        </w:rPr>
        <w:t>Line 21</w:t>
      </w:r>
      <w:r w:rsidRPr="00FA6577">
        <w:rPr>
          <w:rStyle w:val="Bold"/>
        </w:rPr>
        <w:t xml:space="preserve"> – </w:t>
      </w:r>
      <w:r>
        <w:rPr>
          <w:b/>
          <w:bCs/>
          <w:noProof/>
          <w:spacing w:val="-6"/>
          <w:kern w:val="144"/>
        </w:rPr>
        <w:t xml:space="preserve">Annual WWT and CSO control CPH as a percent of adjusted MHI. </w:t>
      </w:r>
      <w:r>
        <w:t xml:space="preserve">Divide the </w:t>
      </w:r>
      <w:r w:rsidR="00E82838">
        <w:t>CPH</w:t>
      </w:r>
      <w:r>
        <w:t xml:space="preserve"> on Line 17 by the adjusted MHI in Line 20</w:t>
      </w:r>
      <w:r w:rsidR="00F3408C">
        <w:t>,</w:t>
      </w:r>
      <w:r>
        <w:t xml:space="preserve"> and then multiply by 100. Enter the result on Line 21.</w:t>
      </w:r>
    </w:p>
    <w:p w:rsidR="00E17BF3" w:rsidRDefault="00E17BF3" w:rsidP="00FA6577">
      <w:pPr>
        <w:pStyle w:val="BodyText"/>
      </w:pPr>
      <w:r w:rsidRPr="00FA6577">
        <w:rPr>
          <w:rStyle w:val="Bold"/>
        </w:rPr>
        <w:t xml:space="preserve">Line 22 – Residential Indicator. </w:t>
      </w:r>
      <w:r>
        <w:t xml:space="preserve">Enter the appropriate Financial Impact according to the value of CPH as </w:t>
      </w:r>
      <w:r w:rsidR="00CA6BF3">
        <w:t xml:space="preserve"> percent</w:t>
      </w:r>
      <w:r>
        <w:t xml:space="preserve"> MHI in Line 21. The appropriate Financial Impacts are defined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86" w:type="dxa"/>
          <w:bottom w:w="14" w:type="dxa"/>
          <w:right w:w="86" w:type="dxa"/>
        </w:tblCellMar>
        <w:tblLook w:val="01E0" w:firstRow="1" w:lastRow="1" w:firstColumn="1" w:lastColumn="1" w:noHBand="0" w:noVBand="0"/>
      </w:tblPr>
      <w:tblGrid>
        <w:gridCol w:w="1470"/>
        <w:gridCol w:w="1582"/>
      </w:tblGrid>
      <w:tr w:rsidR="00E17BF3" w:rsidRPr="008C6DB0" w:rsidTr="008C6DB0">
        <w:tc>
          <w:tcPr>
            <w:tcW w:w="1639" w:type="dxa"/>
            <w:vAlign w:val="center"/>
          </w:tcPr>
          <w:p w:rsidR="00E17BF3" w:rsidRPr="008C6DB0" w:rsidRDefault="00E17BF3" w:rsidP="008C6DB0">
            <w:pPr>
              <w:jc w:val="center"/>
              <w:rPr>
                <w:rFonts w:cs="Arial"/>
                <w:b/>
                <w:sz w:val="18"/>
                <w:szCs w:val="18"/>
              </w:rPr>
            </w:pPr>
            <w:r w:rsidRPr="008C6DB0">
              <w:rPr>
                <w:rFonts w:cs="Arial"/>
                <w:b/>
                <w:sz w:val="18"/>
                <w:szCs w:val="18"/>
              </w:rPr>
              <w:t>CPH as % of MHI</w:t>
            </w:r>
          </w:p>
        </w:tc>
        <w:tc>
          <w:tcPr>
            <w:tcW w:w="1697" w:type="dxa"/>
          </w:tcPr>
          <w:p w:rsidR="00E17BF3" w:rsidRPr="008C6DB0" w:rsidRDefault="00E17BF3" w:rsidP="008C6DB0">
            <w:pPr>
              <w:jc w:val="center"/>
              <w:rPr>
                <w:rFonts w:cs="Arial"/>
                <w:b/>
                <w:sz w:val="18"/>
                <w:szCs w:val="18"/>
              </w:rPr>
            </w:pPr>
            <w:r w:rsidRPr="008C6DB0">
              <w:rPr>
                <w:rFonts w:cs="Arial"/>
                <w:b/>
                <w:sz w:val="18"/>
                <w:szCs w:val="18"/>
              </w:rPr>
              <w:t>Financial Impact</w:t>
            </w:r>
          </w:p>
        </w:tc>
      </w:tr>
      <w:tr w:rsidR="00E17BF3" w:rsidRPr="008C6DB0" w:rsidTr="008C6DB0">
        <w:tc>
          <w:tcPr>
            <w:tcW w:w="1639" w:type="dxa"/>
          </w:tcPr>
          <w:p w:rsidR="00E17BF3" w:rsidRPr="008C6DB0" w:rsidRDefault="00E17BF3" w:rsidP="008C6DB0">
            <w:pPr>
              <w:jc w:val="center"/>
              <w:rPr>
                <w:rFonts w:cs="Arial"/>
                <w:sz w:val="18"/>
                <w:szCs w:val="18"/>
              </w:rPr>
            </w:pPr>
            <w:r w:rsidRPr="008C6DB0">
              <w:rPr>
                <w:rFonts w:cs="Arial"/>
                <w:sz w:val="18"/>
                <w:szCs w:val="18"/>
              </w:rPr>
              <w:t>&lt;</w:t>
            </w:r>
            <w:r w:rsidR="00F3408C" w:rsidRPr="008C6DB0">
              <w:rPr>
                <w:rFonts w:cs="Arial"/>
                <w:sz w:val="18"/>
                <w:szCs w:val="18"/>
              </w:rPr>
              <w:t xml:space="preserve"> </w:t>
            </w:r>
            <w:r w:rsidRPr="008C6DB0">
              <w:rPr>
                <w:rFonts w:cs="Arial"/>
                <w:sz w:val="18"/>
                <w:szCs w:val="18"/>
              </w:rPr>
              <w:t>1</w:t>
            </w:r>
          </w:p>
        </w:tc>
        <w:tc>
          <w:tcPr>
            <w:tcW w:w="1697" w:type="dxa"/>
          </w:tcPr>
          <w:p w:rsidR="00E17BF3" w:rsidRPr="008C6DB0" w:rsidRDefault="00E17BF3" w:rsidP="008C6DB0">
            <w:pPr>
              <w:jc w:val="center"/>
              <w:rPr>
                <w:rFonts w:cs="Arial"/>
                <w:sz w:val="18"/>
                <w:szCs w:val="18"/>
              </w:rPr>
            </w:pPr>
            <w:r w:rsidRPr="008C6DB0">
              <w:rPr>
                <w:rFonts w:cs="Arial"/>
                <w:sz w:val="18"/>
                <w:szCs w:val="18"/>
              </w:rPr>
              <w:t>Low</w:t>
            </w:r>
          </w:p>
        </w:tc>
      </w:tr>
      <w:tr w:rsidR="00E17BF3" w:rsidRPr="008C6DB0" w:rsidTr="008C6DB0">
        <w:tc>
          <w:tcPr>
            <w:tcW w:w="1639" w:type="dxa"/>
          </w:tcPr>
          <w:p w:rsidR="00E17BF3" w:rsidRPr="008C6DB0" w:rsidRDefault="00E17BF3" w:rsidP="008C6DB0">
            <w:pPr>
              <w:jc w:val="center"/>
              <w:rPr>
                <w:rFonts w:cs="Arial"/>
                <w:sz w:val="18"/>
                <w:szCs w:val="18"/>
              </w:rPr>
            </w:pPr>
            <w:r w:rsidRPr="008C6DB0">
              <w:rPr>
                <w:rFonts w:cs="Arial"/>
                <w:sz w:val="18"/>
                <w:szCs w:val="18"/>
              </w:rPr>
              <w:t>1 to 2</w:t>
            </w:r>
          </w:p>
        </w:tc>
        <w:tc>
          <w:tcPr>
            <w:tcW w:w="1697" w:type="dxa"/>
          </w:tcPr>
          <w:p w:rsidR="00E17BF3" w:rsidRPr="008C6DB0" w:rsidRDefault="00E17BF3" w:rsidP="008C6DB0">
            <w:pPr>
              <w:jc w:val="center"/>
              <w:rPr>
                <w:rFonts w:cs="Arial"/>
                <w:sz w:val="18"/>
                <w:szCs w:val="18"/>
              </w:rPr>
            </w:pPr>
            <w:r w:rsidRPr="008C6DB0">
              <w:rPr>
                <w:rFonts w:cs="Arial"/>
                <w:sz w:val="18"/>
                <w:szCs w:val="18"/>
              </w:rPr>
              <w:t>Mid-Range</w:t>
            </w:r>
          </w:p>
        </w:tc>
      </w:tr>
      <w:tr w:rsidR="00E17BF3" w:rsidRPr="008C6DB0" w:rsidTr="008C6DB0">
        <w:tc>
          <w:tcPr>
            <w:tcW w:w="1639" w:type="dxa"/>
          </w:tcPr>
          <w:p w:rsidR="00E17BF3" w:rsidRPr="008C6DB0" w:rsidRDefault="00E17BF3" w:rsidP="008C6DB0">
            <w:pPr>
              <w:jc w:val="center"/>
              <w:rPr>
                <w:rFonts w:cs="Arial"/>
                <w:sz w:val="18"/>
                <w:szCs w:val="18"/>
              </w:rPr>
            </w:pPr>
            <w:r w:rsidRPr="008C6DB0">
              <w:rPr>
                <w:rFonts w:cs="Arial"/>
                <w:sz w:val="18"/>
                <w:szCs w:val="18"/>
              </w:rPr>
              <w:t>&gt;</w:t>
            </w:r>
            <w:r w:rsidR="00F3408C" w:rsidRPr="008C6DB0">
              <w:rPr>
                <w:rFonts w:cs="Arial"/>
                <w:sz w:val="18"/>
                <w:szCs w:val="18"/>
              </w:rPr>
              <w:t xml:space="preserve"> </w:t>
            </w:r>
            <w:r w:rsidRPr="008C6DB0">
              <w:rPr>
                <w:rFonts w:cs="Arial"/>
                <w:sz w:val="18"/>
                <w:szCs w:val="18"/>
              </w:rPr>
              <w:t>2</w:t>
            </w:r>
          </w:p>
        </w:tc>
        <w:tc>
          <w:tcPr>
            <w:tcW w:w="1697" w:type="dxa"/>
          </w:tcPr>
          <w:p w:rsidR="00E17BF3" w:rsidRPr="008C6DB0" w:rsidRDefault="00E17BF3" w:rsidP="008C6DB0">
            <w:pPr>
              <w:jc w:val="center"/>
              <w:rPr>
                <w:rFonts w:cs="Arial"/>
                <w:sz w:val="18"/>
                <w:szCs w:val="18"/>
              </w:rPr>
            </w:pPr>
            <w:r w:rsidRPr="008C6DB0">
              <w:rPr>
                <w:rFonts w:cs="Arial"/>
                <w:sz w:val="18"/>
                <w:szCs w:val="18"/>
              </w:rPr>
              <w:t>High</w:t>
            </w:r>
          </w:p>
        </w:tc>
      </w:tr>
    </w:tbl>
    <w:p w:rsidR="00E17BF3" w:rsidRDefault="00E17BF3" w:rsidP="007106DC">
      <w:pPr>
        <w:pStyle w:val="Heading4"/>
      </w:pPr>
      <w:r>
        <w:t>Analyzing the Residential Indicator</w:t>
      </w:r>
    </w:p>
    <w:p w:rsidR="0062037C" w:rsidRDefault="00E17BF3" w:rsidP="00FA6577">
      <w:pPr>
        <w:pStyle w:val="BodyText"/>
      </w:pPr>
      <w:r>
        <w:t xml:space="preserve">The Residential Indicator is used to help permittees, EPA, and state NPDES authorities </w:t>
      </w:r>
      <w:r w:rsidR="00E76225">
        <w:t>to negotiate a</w:t>
      </w:r>
      <w:r>
        <w:t xml:space="preserve"> reasonable and workable long-term CSO and WWT control schedules</w:t>
      </w:r>
      <w:r w:rsidR="0062037C">
        <w:t>.</w:t>
      </w:r>
    </w:p>
    <w:p w:rsidR="00E76225" w:rsidRDefault="00E17BF3" w:rsidP="00FA6577">
      <w:pPr>
        <w:pStyle w:val="BodyText"/>
      </w:pPr>
      <w:r>
        <w:t xml:space="preserve">The Residential Indicator is </w:t>
      </w:r>
      <w:r w:rsidR="00E76225">
        <w:t xml:space="preserve">used with </w:t>
      </w:r>
      <w:r>
        <w:t xml:space="preserve">the financial impact ranges that reflect EPA's previous experience with water pollution control programs. When the Residential Indicator is less than 1, between 1 and 2, and greater than 2, the financial impact on residential users to implement the CSO and WWT controls will be characterized as </w:t>
      </w:r>
      <w:r w:rsidRPr="00FA6577">
        <w:rPr>
          <w:rStyle w:val="italic"/>
        </w:rPr>
        <w:t>low</w:t>
      </w:r>
      <w:r>
        <w:t xml:space="preserve">, </w:t>
      </w:r>
      <w:r w:rsidRPr="00FA6577">
        <w:rPr>
          <w:rStyle w:val="italic"/>
        </w:rPr>
        <w:t>mid-range</w:t>
      </w:r>
      <w:r>
        <w:t xml:space="preserve">, and </w:t>
      </w:r>
      <w:r w:rsidRPr="00FA6577">
        <w:rPr>
          <w:rStyle w:val="italic"/>
        </w:rPr>
        <w:t>high</w:t>
      </w:r>
      <w:r>
        <w:t xml:space="preserve">, respectively. Unless there are significant weaknesses in a permittee's financial and socioeconomic conditions, second phase reviews for permittees that have a low residential indicator score (CPH </w:t>
      </w:r>
      <w:r w:rsidR="00DA0DBB">
        <w:t>as percent</w:t>
      </w:r>
      <w:r>
        <w:t xml:space="preserve"> of MHI less than 1) are unlikely to result in longer implementation schedules. </w:t>
      </w:r>
    </w:p>
    <w:p w:rsidR="00E17BF3" w:rsidRDefault="00E17BF3" w:rsidP="00FA6577">
      <w:pPr>
        <w:pStyle w:val="BodyText"/>
      </w:pPr>
      <w:r>
        <w:t xml:space="preserve">In situations where a permittee believes that there are unique circumstances that affect the conclusion of the first phase, the permittee </w:t>
      </w:r>
      <w:r w:rsidR="00F3408C">
        <w:t xml:space="preserve">can </w:t>
      </w:r>
      <w:r>
        <w:t>submit documentation of its unique financial conditions to the appropriate state NPDES and EPA authorities for consideration.</w:t>
      </w:r>
    </w:p>
    <w:p w:rsidR="00E17BF3" w:rsidRDefault="00E17BF3" w:rsidP="003859D2">
      <w:pPr>
        <w:pStyle w:val="Heading2"/>
        <w:rPr>
          <w:szCs w:val="20"/>
        </w:rPr>
      </w:pPr>
      <w:bookmarkStart w:id="245" w:name="_Toc127078279"/>
      <w:bookmarkStart w:id="246" w:name="_Toc243725285"/>
      <w:bookmarkStart w:id="247" w:name="_Toc243809467"/>
      <w:bookmarkStart w:id="248" w:name="_Toc285015631"/>
      <w:r>
        <w:t>Phase II Permittee Financial Capability Indicators</w:t>
      </w:r>
      <w:bookmarkEnd w:id="245"/>
      <w:bookmarkEnd w:id="246"/>
      <w:bookmarkEnd w:id="247"/>
      <w:bookmarkEnd w:id="248"/>
    </w:p>
    <w:p w:rsidR="00E17BF3" w:rsidRDefault="00E17BF3" w:rsidP="00FA6577">
      <w:pPr>
        <w:pStyle w:val="BodyText"/>
      </w:pPr>
      <w:r>
        <w:t xml:space="preserve">In Phase II of the analysis of the permittee’s financial capability, selected indicators are assessed to evaluate the financial capability of the permittee. </w:t>
      </w:r>
      <w:r w:rsidR="00F3408C">
        <w:t xml:space="preserve">Such </w:t>
      </w:r>
      <w:r>
        <w:t>indicators examine the permittee's debt burden, socioeconomic conditions, and financial operations. The second-phase review examines three general categories of financial capability indicators for the permittee</w:t>
      </w:r>
      <w:r w:rsidR="00F3408C">
        <w:t>.</w:t>
      </w:r>
    </w:p>
    <w:p w:rsidR="00E17BF3" w:rsidRDefault="00E17BF3" w:rsidP="00FA6577">
      <w:pPr>
        <w:pStyle w:val="bullet"/>
      </w:pPr>
      <w:r w:rsidRPr="00FA6577">
        <w:rPr>
          <w:rStyle w:val="Bold"/>
        </w:rPr>
        <w:t xml:space="preserve">Debt Indicators </w:t>
      </w:r>
      <w:r>
        <w:t xml:space="preserve">– Assess current debt burden of the permittee or the communities in the permittee's service area and their ability to issue </w:t>
      </w:r>
      <w:r>
        <w:t>additional debt to finance the WWT and CSO control costs. The indicators selected for this purpose are</w:t>
      </w:r>
      <w:r w:rsidR="00F3408C">
        <w:t xml:space="preserve"> as follows</w:t>
      </w:r>
      <w:r>
        <w:t>:</w:t>
      </w:r>
    </w:p>
    <w:p w:rsidR="0062037C" w:rsidRDefault="00E17BF3">
      <w:pPr>
        <w:numPr>
          <w:ilvl w:val="1"/>
          <w:numId w:val="7"/>
        </w:numPr>
        <w:rPr>
          <w:rFonts w:cs="Arial"/>
          <w:szCs w:val="20"/>
        </w:rPr>
      </w:pPr>
      <w:r>
        <w:rPr>
          <w:rFonts w:cs="Arial"/>
          <w:szCs w:val="20"/>
        </w:rPr>
        <w:t>Bond Ratings (General Obligation or Revenue Bond Fund</w:t>
      </w:r>
      <w:r w:rsidR="00F3408C">
        <w:rPr>
          <w:rFonts w:cs="Arial"/>
          <w:szCs w:val="20"/>
        </w:rPr>
        <w:t xml:space="preserve"> or both</w:t>
      </w:r>
      <w:r>
        <w:rPr>
          <w:rFonts w:cs="Arial"/>
          <w:szCs w:val="20"/>
        </w:rPr>
        <w:t>)</w:t>
      </w:r>
    </w:p>
    <w:p w:rsidR="00E17BF3" w:rsidRDefault="00E17BF3">
      <w:pPr>
        <w:numPr>
          <w:ilvl w:val="1"/>
          <w:numId w:val="7"/>
        </w:numPr>
        <w:spacing w:after="240"/>
        <w:rPr>
          <w:rFonts w:cs="Arial"/>
          <w:szCs w:val="20"/>
        </w:rPr>
      </w:pPr>
      <w:r>
        <w:rPr>
          <w:rFonts w:cs="Arial"/>
          <w:szCs w:val="20"/>
        </w:rPr>
        <w:t>Overall Net Debt as a Percent of Full Market Property Value</w:t>
      </w:r>
    </w:p>
    <w:p w:rsidR="00E17BF3" w:rsidRDefault="00E17BF3" w:rsidP="00FA6577">
      <w:pPr>
        <w:pStyle w:val="bullet"/>
      </w:pPr>
      <w:r w:rsidRPr="00FA6577">
        <w:rPr>
          <w:rStyle w:val="Bold"/>
        </w:rPr>
        <w:t xml:space="preserve">Socioeconomic Indicators </w:t>
      </w:r>
      <w:r>
        <w:t>– Assess the general economic well-being of residential users in the permittee's service area. The indicators selected for this purpose are</w:t>
      </w:r>
      <w:r w:rsidR="00F3408C">
        <w:t xml:space="preserve"> as follows</w:t>
      </w:r>
      <w:r>
        <w:t>:</w:t>
      </w:r>
    </w:p>
    <w:p w:rsidR="00E17BF3" w:rsidRDefault="00E17BF3">
      <w:pPr>
        <w:numPr>
          <w:ilvl w:val="1"/>
          <w:numId w:val="7"/>
        </w:numPr>
        <w:rPr>
          <w:rFonts w:cs="Arial"/>
          <w:szCs w:val="20"/>
        </w:rPr>
      </w:pPr>
      <w:r>
        <w:rPr>
          <w:rFonts w:cs="Arial"/>
          <w:szCs w:val="20"/>
        </w:rPr>
        <w:t>Unemployment Rate</w:t>
      </w:r>
    </w:p>
    <w:p w:rsidR="00E17BF3" w:rsidRDefault="00E17BF3">
      <w:pPr>
        <w:numPr>
          <w:ilvl w:val="1"/>
          <w:numId w:val="7"/>
        </w:numPr>
        <w:spacing w:after="240"/>
        <w:rPr>
          <w:rFonts w:cs="Arial"/>
          <w:szCs w:val="20"/>
        </w:rPr>
      </w:pPr>
      <w:r>
        <w:rPr>
          <w:rFonts w:cs="Arial"/>
          <w:szCs w:val="20"/>
        </w:rPr>
        <w:t>MHI</w:t>
      </w:r>
    </w:p>
    <w:p w:rsidR="00E17BF3" w:rsidRDefault="00E17BF3" w:rsidP="00FA6577">
      <w:pPr>
        <w:pStyle w:val="bullet"/>
      </w:pPr>
      <w:r w:rsidRPr="00FA6577">
        <w:rPr>
          <w:rStyle w:val="Bold"/>
        </w:rPr>
        <w:t xml:space="preserve">Financial Management Indicators </w:t>
      </w:r>
      <w:r>
        <w:t>– Evaluate the permittee's overall ability to manage financial operations. The indicators selected for this purpose are</w:t>
      </w:r>
      <w:r w:rsidR="00F3408C">
        <w:t xml:space="preserve"> as follows</w:t>
      </w:r>
      <w:r>
        <w:t>:</w:t>
      </w:r>
    </w:p>
    <w:p w:rsidR="00E17BF3" w:rsidRDefault="00E17BF3">
      <w:pPr>
        <w:numPr>
          <w:ilvl w:val="1"/>
          <w:numId w:val="7"/>
        </w:numPr>
        <w:rPr>
          <w:rFonts w:cs="Arial"/>
          <w:szCs w:val="20"/>
        </w:rPr>
      </w:pPr>
      <w:r>
        <w:rPr>
          <w:rFonts w:cs="Arial"/>
          <w:szCs w:val="20"/>
        </w:rPr>
        <w:t>Property Tax Revenue Collection Rate</w:t>
      </w:r>
    </w:p>
    <w:p w:rsidR="00E17BF3" w:rsidRDefault="00E17BF3">
      <w:pPr>
        <w:numPr>
          <w:ilvl w:val="1"/>
          <w:numId w:val="7"/>
        </w:numPr>
        <w:rPr>
          <w:rFonts w:cs="Arial"/>
          <w:szCs w:val="20"/>
        </w:rPr>
      </w:pPr>
      <w:r>
        <w:rPr>
          <w:rFonts w:cs="Arial"/>
          <w:szCs w:val="20"/>
        </w:rPr>
        <w:t>Property Tax Revenues as a Percent of Full Market Property Value</w:t>
      </w:r>
    </w:p>
    <w:p w:rsidR="00E17BF3" w:rsidRDefault="00E17BF3" w:rsidP="00FA6577">
      <w:pPr>
        <w:pStyle w:val="BodyText"/>
      </w:pPr>
      <w:r>
        <w:t xml:space="preserve">Even though the financial capability analysis reflects current conditions, pending changes in the service area should be considered </w:t>
      </w:r>
      <w:r w:rsidR="00F3408C">
        <w:t>when</w:t>
      </w:r>
      <w:r>
        <w:t xml:space="preserve"> develop</w:t>
      </w:r>
      <w:r w:rsidR="00F3408C">
        <w:t>ing</w:t>
      </w:r>
      <w:r>
        <w:t xml:space="preserve"> the second phase indicators. For example, if the current unemployment rate is high, but there is a new industry  opening that will stimulate economic growth, the unemployment indicators for the service area would need to be </w:t>
      </w:r>
      <w:r>
        <w:br w:type="textWrapping" w:clear="all"/>
        <w:t xml:space="preserve">modified to reflect the projected impact of the new plant. The permittee should submit documentation of such conditions to the appropriate EPA and state NPDES authorities for consideration. When the permittee is a sanitary </w:t>
      </w:r>
      <w:r>
        <w:lastRenderedPageBreak/>
        <w:t>district, sewer authority or similar entity, the second phase indicators related to property values and tax revenues m</w:t>
      </w:r>
      <w:r w:rsidR="00F3408C">
        <w:t>ight</w:t>
      </w:r>
      <w:r>
        <w:t xml:space="preserve"> not be applicable. In </w:t>
      </w:r>
      <w:r w:rsidR="00F3408C">
        <w:t xml:space="preserve">such </w:t>
      </w:r>
      <w:r>
        <w:t xml:space="preserve">circumstances, the permittee </w:t>
      </w:r>
      <w:r w:rsidR="00F3408C">
        <w:t>can</w:t>
      </w:r>
      <w:r>
        <w:t xml:space="preserve"> simply use the remaining indicators or submit other related documentation that will help assess its financial capability to implement the CSO controls.</w:t>
      </w:r>
    </w:p>
    <w:p w:rsidR="00E17BF3" w:rsidRDefault="00E17BF3" w:rsidP="0025141C">
      <w:pPr>
        <w:pStyle w:val="Heading2"/>
        <w:rPr>
          <w:szCs w:val="20"/>
        </w:rPr>
      </w:pPr>
      <w:bookmarkStart w:id="249" w:name="_Toc127078281"/>
      <w:bookmarkStart w:id="250" w:name="_Toc243725286"/>
      <w:bookmarkStart w:id="251" w:name="_Toc243809468"/>
      <w:bookmarkStart w:id="252" w:name="_Toc285015632"/>
      <w:r>
        <w:t>Debt Indicators</w:t>
      </w:r>
      <w:bookmarkEnd w:id="249"/>
      <w:bookmarkEnd w:id="250"/>
      <w:bookmarkEnd w:id="251"/>
      <w:bookmarkEnd w:id="252"/>
    </w:p>
    <w:p w:rsidR="00E17BF3" w:rsidRDefault="00E17BF3" w:rsidP="00FA6577">
      <w:pPr>
        <w:pStyle w:val="BodyText"/>
      </w:pPr>
      <w:r>
        <w:t xml:space="preserve">The debt indicators described below are used to assess the current debt burden conditions and the ability to issue new debt. </w:t>
      </w:r>
      <w:r w:rsidR="00F3408C">
        <w:t xml:space="preserve">Such </w:t>
      </w:r>
      <w:r>
        <w:t>indicators are the bond rating and overall net debt as a percent of full market property value</w:t>
      </w:r>
      <w:r w:rsidR="009B2A3B">
        <w:t xml:space="preserve"> (MPV)</w:t>
      </w:r>
      <w:r>
        <w:t>. When th</w:t>
      </w:r>
      <w:r w:rsidR="00C44873">
        <w:t>o</w:t>
      </w:r>
      <w:r>
        <w:t xml:space="preserve">se indicators are not available for the permittee, other financial data that illustrates debt burden and debt issuing capacity </w:t>
      </w:r>
      <w:r w:rsidR="00C44873">
        <w:t xml:space="preserve">can </w:t>
      </w:r>
      <w:r>
        <w:t>be used to assess the permittee's financial capability in this area.</w:t>
      </w:r>
    </w:p>
    <w:p w:rsidR="00E17BF3" w:rsidRDefault="00E17BF3" w:rsidP="007106DC">
      <w:pPr>
        <w:pStyle w:val="Heading4"/>
      </w:pPr>
      <w:r>
        <w:t>Bond Rating</w:t>
      </w:r>
    </w:p>
    <w:p w:rsidR="00E17BF3" w:rsidRDefault="00E17BF3" w:rsidP="00FA6577">
      <w:pPr>
        <w:pStyle w:val="BodyText"/>
      </w:pPr>
      <w:r>
        <w:t xml:space="preserve">Recent bond ratings summarize a bond rating agency's assessment of a permittee's or community's credit capacity. </w:t>
      </w:r>
      <w:bookmarkStart w:id="253" w:name="OLE_LINK18"/>
      <w:bookmarkStart w:id="254" w:name="OLE_LINK19"/>
      <w:r>
        <w:t>General obligation</w:t>
      </w:r>
      <w:bookmarkEnd w:id="253"/>
      <w:bookmarkEnd w:id="254"/>
      <w:r>
        <w:t xml:space="preserve"> (G.O.) bonds are bonds issued by a local government and repaid with taxes (usually property taxes). They are the primary long-term debt funding mechanism in use by local governments. G</w:t>
      </w:r>
      <w:r w:rsidR="00C44873">
        <w:t>.O.</w:t>
      </w:r>
      <w:r>
        <w:t>bond ratings reflect financial and socioeconomic conditions experienced by the community as a whole.</w:t>
      </w:r>
    </w:p>
    <w:p w:rsidR="0062037C" w:rsidRDefault="00E17BF3" w:rsidP="00E82838">
      <w:pPr>
        <w:pStyle w:val="Norma"/>
        <w:spacing w:before="120" w:after="120"/>
        <w:rPr>
          <w:szCs w:val="20"/>
        </w:rPr>
      </w:pPr>
      <w:r w:rsidRPr="00FA6577">
        <w:rPr>
          <w:rStyle w:val="italic"/>
        </w:rPr>
        <w:t>Revenue bond</w:t>
      </w:r>
      <w:r>
        <w:rPr>
          <w:szCs w:val="20"/>
        </w:rPr>
        <w:t xml:space="preserve"> ratings, </w:t>
      </w:r>
      <w:r w:rsidR="00C44873">
        <w:rPr>
          <w:szCs w:val="20"/>
        </w:rPr>
        <w:t xml:space="preserve">in </w:t>
      </w:r>
      <w:r>
        <w:rPr>
          <w:szCs w:val="20"/>
        </w:rPr>
        <w:t>comparison, reflect the financial conditions and management capability of the wastewater utility. They are repaid with revenues generated from user fees. Revenue bonds are sometimes referred to as water or sewer bonds. In some cases</w:t>
      </w:r>
      <w:r w:rsidR="00C44873">
        <w:rPr>
          <w:szCs w:val="20"/>
        </w:rPr>
        <w:t>,</w:t>
      </w:r>
      <w:r>
        <w:rPr>
          <w:szCs w:val="20"/>
        </w:rPr>
        <w:t xml:space="preserve"> </w:t>
      </w:r>
      <w:r>
        <w:rPr>
          <w:szCs w:val="20"/>
        </w:rPr>
        <w:t xml:space="preserve">the bonds </w:t>
      </w:r>
      <w:r w:rsidR="00C44873">
        <w:rPr>
          <w:szCs w:val="20"/>
        </w:rPr>
        <w:t>might</w:t>
      </w:r>
      <w:r>
        <w:rPr>
          <w:szCs w:val="20"/>
        </w:rPr>
        <w:t xml:space="preserve"> have been issued by the state on behalf of local communities</w:t>
      </w:r>
      <w:r w:rsidR="0062037C">
        <w:rPr>
          <w:szCs w:val="20"/>
        </w:rPr>
        <w:t>.</w:t>
      </w:r>
    </w:p>
    <w:p w:rsidR="00E17BF3" w:rsidRDefault="00E17BF3" w:rsidP="00FA6577">
      <w:pPr>
        <w:pStyle w:val="BodyText"/>
      </w:pPr>
      <w:r>
        <w:t xml:space="preserve">Bond ratings normally incorporate an analysis of many financial capability indicators. </w:t>
      </w:r>
      <w:r w:rsidR="00C44873">
        <w:t xml:space="preserve">Such </w:t>
      </w:r>
      <w:r>
        <w:t>analyses evaluate the long</w:t>
      </w:r>
      <w:r w:rsidR="00C44873">
        <w:t>-</w:t>
      </w:r>
      <w:r>
        <w:t xml:space="preserve">term trends and current conditions for the indicators. The ultimate bond ratings reflect a general assessment of the current financial conditions. However, if security enhancements </w:t>
      </w:r>
      <w:r w:rsidR="00C44873">
        <w:t xml:space="preserve">such as </w:t>
      </w:r>
      <w:r>
        <w:t>bond insurance have been used for a revenue bond issue, the bond rating m</w:t>
      </w:r>
      <w:r w:rsidR="00C44873">
        <w:t>ight</w:t>
      </w:r>
      <w:r>
        <w:t xml:space="preserve"> be higher than justified by the local conditions.</w:t>
      </w:r>
    </w:p>
    <w:p w:rsidR="00E17BF3" w:rsidRDefault="00E17BF3" w:rsidP="00FA6577">
      <w:pPr>
        <w:pStyle w:val="BodyText"/>
      </w:pPr>
      <w:r>
        <w:t xml:space="preserve">Many small and medium-sized communities and permittees have not used debt financing for projects and, as a result, have no bond rating. The absence of bond rating does not indicate strong or weak financial health. When a bond rating is not available, this indicator </w:t>
      </w:r>
      <w:r w:rsidR="00751E0C">
        <w:t xml:space="preserve">can </w:t>
      </w:r>
      <w:r>
        <w:t>be excluded from the financial analysis.</w:t>
      </w:r>
    </w:p>
    <w:p w:rsidR="00E17BF3" w:rsidRDefault="00E17BF3" w:rsidP="00FA6577">
      <w:pPr>
        <w:pStyle w:val="BodyText"/>
      </w:pPr>
      <w:r>
        <w:t>Municipal bond reports from rating agencies (e.g., Moody's Bond Record, Standard &amp; Poor's Corporation) provide recent ratings.</w:t>
      </w:r>
    </w:p>
    <w:p w:rsidR="00E17BF3" w:rsidRDefault="00E17BF3" w:rsidP="00FA6577">
      <w:pPr>
        <w:pStyle w:val="BodyText"/>
        <w:rPr>
          <w:bCs/>
        </w:rPr>
      </w:pPr>
      <w:r w:rsidRPr="00FA6577">
        <w:rPr>
          <w:rStyle w:val="Bold"/>
        </w:rPr>
        <w:t xml:space="preserve">Line 23a – Date of most recent general obligation bond. </w:t>
      </w:r>
      <w:r>
        <w:rPr>
          <w:bCs/>
        </w:rPr>
        <w:t xml:space="preserve">Enter the date of issuance for the permittee’s most recent </w:t>
      </w:r>
      <w:r w:rsidR="00C44873">
        <w:rPr>
          <w:bCs/>
        </w:rPr>
        <w:t>G.O.</w:t>
      </w:r>
      <w:r>
        <w:rPr>
          <w:bCs/>
        </w:rPr>
        <w:t xml:space="preserve"> bond.</w:t>
      </w:r>
    </w:p>
    <w:p w:rsidR="00E17BF3" w:rsidRDefault="00E17BF3" w:rsidP="00FA6577">
      <w:pPr>
        <w:pStyle w:val="BodyText"/>
        <w:rPr>
          <w:bCs/>
        </w:rPr>
      </w:pPr>
      <w:r w:rsidRPr="00FA6577">
        <w:rPr>
          <w:rStyle w:val="Bold"/>
        </w:rPr>
        <w:t xml:space="preserve">Line 23b – Rating agency. </w:t>
      </w:r>
      <w:r>
        <w:rPr>
          <w:bCs/>
        </w:rPr>
        <w:t xml:space="preserve">Enter the name of the rating agency for the most recent </w:t>
      </w:r>
      <w:r w:rsidR="00C44873">
        <w:rPr>
          <w:bCs/>
        </w:rPr>
        <w:t>G.O.</w:t>
      </w:r>
      <w:r>
        <w:rPr>
          <w:bCs/>
        </w:rPr>
        <w:t xml:space="preserve"> bond.</w:t>
      </w:r>
    </w:p>
    <w:p w:rsidR="00E17BF3" w:rsidRDefault="00E17BF3" w:rsidP="00FA6577">
      <w:pPr>
        <w:pStyle w:val="BodyText"/>
        <w:rPr>
          <w:bCs/>
        </w:rPr>
      </w:pPr>
      <w:r w:rsidRPr="00FA6577">
        <w:rPr>
          <w:rStyle w:val="Bold"/>
        </w:rPr>
        <w:t>Line 23c – Rating.</w:t>
      </w:r>
      <w:r>
        <w:rPr>
          <w:bCs/>
        </w:rPr>
        <w:t xml:space="preserve"> Enter the rating provided by the rating agency for the most recent </w:t>
      </w:r>
      <w:r w:rsidR="00C44873">
        <w:rPr>
          <w:bCs/>
        </w:rPr>
        <w:t>G.O.</w:t>
      </w:r>
      <w:r>
        <w:rPr>
          <w:bCs/>
        </w:rPr>
        <w:t xml:space="preserve"> bond.</w:t>
      </w:r>
    </w:p>
    <w:p w:rsidR="00E17BF3" w:rsidRDefault="00E17BF3" w:rsidP="00FA6577">
      <w:pPr>
        <w:pStyle w:val="BodyText"/>
        <w:rPr>
          <w:bCs/>
        </w:rPr>
      </w:pPr>
      <w:r w:rsidRPr="00FA6577">
        <w:rPr>
          <w:rStyle w:val="Bold"/>
        </w:rPr>
        <w:t xml:space="preserve">Line 24a – Date of most recent revenue (water or sewer) bond. </w:t>
      </w:r>
      <w:r>
        <w:rPr>
          <w:bCs/>
        </w:rPr>
        <w:t xml:space="preserve">Enter the date of issuance for the permittee’s </w:t>
      </w:r>
      <w:r>
        <w:rPr>
          <w:bCs/>
        </w:rPr>
        <w:t>most recent revenue obligation bond.</w:t>
      </w:r>
    </w:p>
    <w:p w:rsidR="00E17BF3" w:rsidRDefault="00E17BF3" w:rsidP="00FA6577">
      <w:pPr>
        <w:pStyle w:val="BodyText"/>
      </w:pPr>
      <w:r w:rsidRPr="00FA6577">
        <w:rPr>
          <w:rStyle w:val="Bold"/>
        </w:rPr>
        <w:t xml:space="preserve">Line 24b – Rating agency. </w:t>
      </w:r>
      <w:r>
        <w:t>Enter the name of the rating agency for the most recent revenue bond.</w:t>
      </w:r>
    </w:p>
    <w:p w:rsidR="00E17BF3" w:rsidRDefault="00E17BF3" w:rsidP="00FA6577">
      <w:pPr>
        <w:pStyle w:val="BodyText"/>
      </w:pPr>
      <w:r w:rsidRPr="00FA6577">
        <w:rPr>
          <w:rStyle w:val="Bold"/>
        </w:rPr>
        <w:t xml:space="preserve">Line 24c – Bond insurance. </w:t>
      </w:r>
      <w:r>
        <w:t>Indicate whether bond insurance was required.</w:t>
      </w:r>
    </w:p>
    <w:p w:rsidR="00E17BF3" w:rsidRDefault="00E17BF3" w:rsidP="00FA6577">
      <w:pPr>
        <w:pStyle w:val="BodyText"/>
      </w:pPr>
      <w:r w:rsidRPr="00FA6577">
        <w:rPr>
          <w:rStyle w:val="Bold"/>
        </w:rPr>
        <w:t>Line 24d – Rating.</w:t>
      </w:r>
      <w:r>
        <w:t xml:space="preserve"> Enter the rating provided by the rating agency for the most recent revenue bond.</w:t>
      </w:r>
    </w:p>
    <w:p w:rsidR="00E17BF3" w:rsidRDefault="00E17BF3" w:rsidP="00FA6577">
      <w:pPr>
        <w:pStyle w:val="BodyText"/>
      </w:pPr>
      <w:r w:rsidRPr="00FA6577">
        <w:rPr>
          <w:rStyle w:val="Bold"/>
        </w:rPr>
        <w:t xml:space="preserve">Line 25 – Bond rating. </w:t>
      </w:r>
      <w:r>
        <w:t>For the more recent of the bonds entered in Lines 23 and 24, enter a bond rating benchmark according to the schedule below:</w:t>
      </w:r>
    </w:p>
    <w:p w:rsidR="00E17BF3" w:rsidRDefault="00E17BF3" w:rsidP="00FA6577">
      <w:pPr>
        <w:pStyle w:val="BodyText"/>
        <w:rPr>
          <w:szCs w:val="20"/>
        </w:rPr>
      </w:pPr>
      <w:r>
        <w:rPr>
          <w:szCs w:val="20"/>
        </w:rPr>
        <w:t xml:space="preserve">If the rating agency is Moody’s Investor Services, enter </w:t>
      </w:r>
      <w:r w:rsidRPr="00FA6577">
        <w:rPr>
          <w:rStyle w:val="italic"/>
        </w:rPr>
        <w:t>Strong</w:t>
      </w:r>
      <w:r>
        <w:rPr>
          <w:szCs w:val="20"/>
        </w:rPr>
        <w:t xml:space="preserve"> for a rating of </w:t>
      </w:r>
      <w:r w:rsidR="000F69BF">
        <w:rPr>
          <w:szCs w:val="20"/>
        </w:rPr>
        <w:t>AAA</w:t>
      </w:r>
      <w:r>
        <w:rPr>
          <w:szCs w:val="20"/>
        </w:rPr>
        <w:t xml:space="preserve">, AA, or A; </w:t>
      </w:r>
      <w:r w:rsidRPr="00FA6577">
        <w:rPr>
          <w:rStyle w:val="italic"/>
        </w:rPr>
        <w:t>Mid-Range</w:t>
      </w:r>
      <w:r>
        <w:rPr>
          <w:szCs w:val="20"/>
        </w:rPr>
        <w:t xml:space="preserve"> for a rating of Baa; </w:t>
      </w:r>
      <w:r w:rsidR="00751E0C">
        <w:rPr>
          <w:szCs w:val="20"/>
        </w:rPr>
        <w:t xml:space="preserve">and </w:t>
      </w:r>
      <w:r w:rsidRPr="00FA6577">
        <w:rPr>
          <w:rStyle w:val="italic"/>
        </w:rPr>
        <w:t>Weak</w:t>
      </w:r>
      <w:r>
        <w:rPr>
          <w:szCs w:val="20"/>
        </w:rPr>
        <w:t xml:space="preserve"> otherwise.</w:t>
      </w:r>
    </w:p>
    <w:p w:rsidR="0062037C" w:rsidRDefault="00E17BF3" w:rsidP="00FA6577">
      <w:pPr>
        <w:pStyle w:val="BodyText"/>
        <w:rPr>
          <w:szCs w:val="20"/>
        </w:rPr>
      </w:pPr>
      <w:r>
        <w:rPr>
          <w:szCs w:val="20"/>
        </w:rPr>
        <w:t xml:space="preserve">If the rating agency is Standard &amp; Poor’s, enter </w:t>
      </w:r>
      <w:r w:rsidRPr="00FA6577">
        <w:rPr>
          <w:rStyle w:val="italic"/>
        </w:rPr>
        <w:t>Strong</w:t>
      </w:r>
      <w:r>
        <w:rPr>
          <w:szCs w:val="20"/>
        </w:rPr>
        <w:t xml:space="preserve"> for a rating of AAA, AA, or A; </w:t>
      </w:r>
      <w:r w:rsidRPr="00FA6577">
        <w:rPr>
          <w:rStyle w:val="italic"/>
        </w:rPr>
        <w:t>Mid-Range</w:t>
      </w:r>
      <w:r>
        <w:rPr>
          <w:szCs w:val="20"/>
        </w:rPr>
        <w:t xml:space="preserve"> for a rating of BBB; </w:t>
      </w:r>
      <w:r w:rsidR="00751E0C">
        <w:rPr>
          <w:szCs w:val="20"/>
        </w:rPr>
        <w:t xml:space="preserve">and </w:t>
      </w:r>
      <w:r w:rsidRPr="00FA6577">
        <w:rPr>
          <w:rStyle w:val="italic"/>
        </w:rPr>
        <w:t>Weak</w:t>
      </w:r>
      <w:r>
        <w:rPr>
          <w:szCs w:val="20"/>
        </w:rPr>
        <w:t xml:space="preserve"> otherwise</w:t>
      </w:r>
      <w:r w:rsidR="0062037C">
        <w:rPr>
          <w:szCs w:val="20"/>
        </w:rPr>
        <w:t>.</w:t>
      </w:r>
    </w:p>
    <w:p w:rsidR="00E17BF3" w:rsidRDefault="00E17BF3" w:rsidP="00FA6577">
      <w:pPr>
        <w:pStyle w:val="BodyText"/>
      </w:pPr>
      <w:r w:rsidRPr="00FA6577">
        <w:rPr>
          <w:rStyle w:val="Bold"/>
        </w:rPr>
        <w:t>Note</w:t>
      </w:r>
      <w:r>
        <w:t xml:space="preserve">: this information is also used in Line 48a of Schedule 6– </w:t>
      </w:r>
      <w:r w:rsidR="00094A10">
        <w:t xml:space="preserve">FINANCIAL CAPABILITY </w:t>
      </w:r>
    </w:p>
    <w:p w:rsidR="00E17BF3" w:rsidRDefault="00E17BF3" w:rsidP="003859D2">
      <w:pPr>
        <w:pStyle w:val="Heading2"/>
        <w:rPr>
          <w:szCs w:val="20"/>
        </w:rPr>
      </w:pPr>
      <w:bookmarkStart w:id="255" w:name="_Toc127078283"/>
      <w:bookmarkStart w:id="256" w:name="_Toc243725287"/>
      <w:bookmarkStart w:id="257" w:name="_Toc243809469"/>
      <w:bookmarkStart w:id="258" w:name="_Toc285015633"/>
      <w:r>
        <w:t>Overall Net Debt</w:t>
      </w:r>
      <w:bookmarkEnd w:id="255"/>
      <w:bookmarkEnd w:id="256"/>
      <w:bookmarkEnd w:id="257"/>
      <w:bookmarkEnd w:id="258"/>
    </w:p>
    <w:p w:rsidR="00E17BF3" w:rsidRDefault="00E17BF3" w:rsidP="00FA6577">
      <w:pPr>
        <w:pStyle w:val="BodyText"/>
      </w:pPr>
      <w:r>
        <w:t xml:space="preserve">Overall net debt is debt repaid by property taxes in the permittee's service area. It excludes debt </w:t>
      </w:r>
      <w:r w:rsidR="00751E0C">
        <w:t xml:space="preserve">that </w:t>
      </w:r>
      <w:r>
        <w:t>is repaid by special user fees (e.g.</w:t>
      </w:r>
      <w:r w:rsidR="007B3819">
        <w:t>,</w:t>
      </w:r>
      <w:r>
        <w:t xml:space="preserve"> revenue debt). This indicator provides a measure of the debt burden on residents in the permittee's service area, and it assesses the ability of local governmental jurisdictions to issue additional debt. Net debt includes the debt issued directly by the local jurisdiction and debt of overlapping entities such as school districts. This indicator compares the level of debt owed by the service area population </w:t>
      </w:r>
      <w:r>
        <w:lastRenderedPageBreak/>
        <w:t>with the full market value of real property used to support that debt, and it serves as a measure of financial wealth in the permittee's service area.</w:t>
      </w:r>
    </w:p>
    <w:p w:rsidR="00E17BF3" w:rsidRDefault="00E17BF3" w:rsidP="00FA6577">
      <w:pPr>
        <w:pStyle w:val="BodyText"/>
      </w:pPr>
      <w:r w:rsidRPr="00FA6577">
        <w:rPr>
          <w:rStyle w:val="Bold"/>
        </w:rPr>
        <w:t>Line 26 – Direct net debt (G.O. bonds excluding double-barreled bonds).</w:t>
      </w:r>
      <w:r>
        <w:t xml:space="preserve"> Enter the amount of </w:t>
      </w:r>
      <w:r w:rsidR="00C44873">
        <w:rPr>
          <w:bCs/>
        </w:rPr>
        <w:t>G.O.</w:t>
      </w:r>
      <w:r>
        <w:t xml:space="preserve"> debt outstanding that is supported by the property in the permittee's service area. </w:t>
      </w:r>
      <w:r w:rsidR="00C44873">
        <w:rPr>
          <w:bCs/>
        </w:rPr>
        <w:t>G.O.</w:t>
      </w:r>
      <w:r>
        <w:t xml:space="preserve"> bonds are secured by the full faith and credit of the community and are payable from general tax revenues. This debt amount excludes </w:t>
      </w:r>
      <w:r w:rsidR="00C44873">
        <w:rPr>
          <w:bCs/>
        </w:rPr>
        <w:t>G.O.</w:t>
      </w:r>
      <w:r>
        <w:t xml:space="preserve"> bonds that are payable from some dedicated user fees or specific revenue source other than the general tax revenues. These </w:t>
      </w:r>
      <w:r w:rsidR="00C44873">
        <w:rPr>
          <w:bCs/>
        </w:rPr>
        <w:t>G.O.</w:t>
      </w:r>
      <w:r>
        <w:t xml:space="preserve"> bonds are called </w:t>
      </w:r>
      <w:r w:rsidRPr="00FA6577">
        <w:rPr>
          <w:rStyle w:val="italic"/>
        </w:rPr>
        <w:t>double-barreled bonds</w:t>
      </w:r>
      <w:r>
        <w:t>.</w:t>
      </w:r>
    </w:p>
    <w:p w:rsidR="00E17BF3" w:rsidRDefault="00E17BF3" w:rsidP="00FA6577">
      <w:pPr>
        <w:pStyle w:val="BodyText"/>
      </w:pPr>
      <w:r>
        <w:t>Debt information is available from the financial statements of each community. In most cases</w:t>
      </w:r>
      <w:r w:rsidR="00751E0C">
        <w:t>,</w:t>
      </w:r>
      <w:r>
        <w:t xml:space="preserve"> the most recent financial statements are on file with the state (e.g.</w:t>
      </w:r>
      <w:r w:rsidR="007B3819">
        <w:t>,</w:t>
      </w:r>
      <w:r>
        <w:t xml:space="preserve"> </w:t>
      </w:r>
      <w:r w:rsidR="00751E0C">
        <w:t>s</w:t>
      </w:r>
      <w:r>
        <w:t xml:space="preserve">tate </w:t>
      </w:r>
      <w:r w:rsidR="00751E0C">
        <w:t>a</w:t>
      </w:r>
      <w:r>
        <w:t xml:space="preserve">uditor's </w:t>
      </w:r>
      <w:r w:rsidR="00751E0C">
        <w:t>o</w:t>
      </w:r>
      <w:r>
        <w:t>ffice). Overlapping debt m</w:t>
      </w:r>
      <w:r w:rsidR="00E82838">
        <w:t>ight</w:t>
      </w:r>
      <w:r>
        <w:t xml:space="preserve"> be provided in a community's financial statements. The property assessment data should be readily available through the community or the </w:t>
      </w:r>
      <w:r w:rsidR="00751E0C">
        <w:t>s</w:t>
      </w:r>
      <w:r>
        <w:t>tate's assessor office. The boundary of most permittees' service areas generally conforms to one or more community boundaries. Therefore, prorating community data to reflect specific service area boundaries is not normally necessary for evaluating the general financial capability of the permittee.</w:t>
      </w:r>
    </w:p>
    <w:p w:rsidR="0062037C" w:rsidRDefault="00E17BF3" w:rsidP="0025141C">
      <w:pPr>
        <w:pStyle w:val="BodyText"/>
      </w:pPr>
      <w:r w:rsidRPr="00FA6577">
        <w:rPr>
          <w:rStyle w:val="Bold"/>
        </w:rPr>
        <w:t>Line 27 – Debt of overlapping entities (proportionate share of multijurisdictional debt).</w:t>
      </w:r>
      <w:r>
        <w:t xml:space="preserve"> </w:t>
      </w:r>
      <w:r>
        <w:rPr>
          <w:spacing w:val="-2"/>
        </w:rPr>
        <w:t>Calculate the permittee's service area's share of any</w:t>
      </w:r>
      <w:r>
        <w:t xml:space="preserve"> debt from overlapping entities using </w:t>
      </w:r>
      <w:r w:rsidR="007B27AF">
        <w:t>the process</w:t>
      </w:r>
      <w:r>
        <w:t xml:space="preserve"> described. For each </w:t>
      </w:r>
      <w:r>
        <w:t>overlapping entity,</w:t>
      </w:r>
      <w:r w:rsidR="00E82838">
        <w:t xml:space="preserve"> do the following:</w:t>
      </w:r>
    </w:p>
    <w:p w:rsidR="00E17BF3" w:rsidRDefault="00E17BF3" w:rsidP="00C575E4">
      <w:pPr>
        <w:pStyle w:val="numberedlist"/>
      </w:pPr>
      <w:r>
        <w:t xml:space="preserve">Identify the total amount of tax-supported outstanding debt for each overlapping entity in Column A and enter it in Column B. Money in a sinking fund is not included in the outstanding debt </w:t>
      </w:r>
      <w:r w:rsidR="00751E0C">
        <w:t xml:space="preserve">because </w:t>
      </w:r>
      <w:r>
        <w:t>it represents periodic deposits into an account to ensure the availability of sufficient monies to make timely debt service payments.</w:t>
      </w:r>
    </w:p>
    <w:p w:rsidR="00E17BF3" w:rsidRDefault="00E17BF3" w:rsidP="00C575E4">
      <w:pPr>
        <w:pStyle w:val="numberedlist"/>
      </w:pPr>
      <w:r>
        <w:t>Identify the percentage of each overlapping entity's outstanding debt charged to persons or property in the permittee's service area and enter it in Column C. The percentage is based on the estimated full market value of real property of the respective jurisdictions.</w:t>
      </w:r>
    </w:p>
    <w:p w:rsidR="00E17BF3" w:rsidRDefault="00E17BF3" w:rsidP="00C575E4">
      <w:pPr>
        <w:pStyle w:val="numberedlist"/>
      </w:pPr>
      <w:r>
        <w:t>Multiply the total outstanding debt of each overlapping entity by the percentage identified for the permittee's service area (Column B x C).</w:t>
      </w:r>
    </w:p>
    <w:p w:rsidR="00E17BF3" w:rsidRDefault="00E17BF3" w:rsidP="00C575E4">
      <w:pPr>
        <w:pStyle w:val="numberedlist"/>
      </w:pPr>
      <w:r>
        <w:t xml:space="preserve">Add the figures and enter </w:t>
      </w:r>
      <w:r w:rsidR="009B2A3B">
        <w:t xml:space="preserve">them </w:t>
      </w:r>
      <w:r>
        <w:t xml:space="preserve">in Column D to arrive at </w:t>
      </w:r>
      <w:r w:rsidR="009B2A3B">
        <w:t xml:space="preserve">the </w:t>
      </w:r>
      <w:r>
        <w:t xml:space="preserve">total overlapping debt for </w:t>
      </w:r>
      <w:r w:rsidR="009B2A3B">
        <w:t xml:space="preserve">the </w:t>
      </w:r>
      <w:r>
        <w:t>permittee's service area.</w:t>
      </w:r>
    </w:p>
    <w:p w:rsidR="00E17BF3" w:rsidRDefault="00E17BF3" w:rsidP="00FA6577">
      <w:pPr>
        <w:pStyle w:val="BodyText"/>
      </w:pPr>
      <w:r w:rsidRPr="00FA6577">
        <w:rPr>
          <w:rStyle w:val="Bold"/>
        </w:rPr>
        <w:t>Line 28 – Overall net debt.</w:t>
      </w:r>
      <w:r>
        <w:t xml:space="preserve"> Add the direct net debt on Line 26 to the overlapping entities debt on Line 27.</w:t>
      </w:r>
    </w:p>
    <w:p w:rsidR="00E17BF3" w:rsidRDefault="00E17BF3" w:rsidP="00FA6577">
      <w:pPr>
        <w:pStyle w:val="BodyText"/>
      </w:pPr>
      <w:r w:rsidRPr="00FA6577">
        <w:rPr>
          <w:rStyle w:val="Bold"/>
        </w:rPr>
        <w:t>Line 29 – Full market property value (MPV).</w:t>
      </w:r>
      <w:r>
        <w:t xml:space="preserve"> The MPV reflects the full market value of property in the permittee's service area. It is possible that the tax assessed property value will not reflect </w:t>
      </w:r>
      <w:r w:rsidR="00555C90">
        <w:t xml:space="preserve">the </w:t>
      </w:r>
      <w:r>
        <w:t>full market value. This occurs when the tax assessment ratio is less than one. In such cases</w:t>
      </w:r>
      <w:r w:rsidR="00555C90">
        <w:t>,</w:t>
      </w:r>
      <w:r>
        <w:t xml:space="preserve"> the full </w:t>
      </w:r>
      <w:r w:rsidR="00555C90">
        <w:t>MPV</w:t>
      </w:r>
      <w:r>
        <w:t xml:space="preserve"> is computed by dividing the total tax assessment value by the assessment ratio (the assessment ratio represents the percentage of the full market </w:t>
      </w:r>
      <w:r>
        <w:t>value that is taxed at the established tax rate), For example, if the assessed value is $1,000,000 and the assessment ratio is 50 percent</w:t>
      </w:r>
      <w:r w:rsidR="00555C90">
        <w:t>,</w:t>
      </w:r>
      <w:r>
        <w:t xml:space="preserve"> the full market value of real property is $1,000,000</w:t>
      </w:r>
      <w:r w:rsidR="00555C90">
        <w:t xml:space="preserve"> </w:t>
      </w:r>
      <w:r>
        <w:t>/</w:t>
      </w:r>
      <w:r w:rsidR="00555C90">
        <w:t xml:space="preserve"> 0</w:t>
      </w:r>
      <w:r>
        <w:t>.50</w:t>
      </w:r>
      <w:r w:rsidR="00555C90">
        <w:t xml:space="preserve"> </w:t>
      </w:r>
      <w:r>
        <w:t>= $2,000,000.</w:t>
      </w:r>
    </w:p>
    <w:p w:rsidR="00E17BF3" w:rsidRDefault="00E17BF3" w:rsidP="00FA6577">
      <w:pPr>
        <w:pStyle w:val="BodyText"/>
      </w:pPr>
      <w:r w:rsidRPr="00FA6577">
        <w:rPr>
          <w:rStyle w:val="Bold"/>
        </w:rPr>
        <w:t xml:space="preserve">Line 30 – Overall net debt as a percent of full market value of property. </w:t>
      </w:r>
      <w:r>
        <w:t>Divide Line 28 by Line 29, then multiply by 100, and enter th</w:t>
      </w:r>
      <w:r w:rsidR="00555C90">
        <w:t>e</w:t>
      </w:r>
      <w:r>
        <w:t xml:space="preserve"> value on Line 30.</w:t>
      </w:r>
    </w:p>
    <w:p w:rsidR="00E17BF3" w:rsidRPr="00FA6577" w:rsidRDefault="00E17BF3" w:rsidP="00FA6577">
      <w:pPr>
        <w:pStyle w:val="BodyText"/>
        <w:rPr>
          <w:rStyle w:val="Bold"/>
        </w:rPr>
      </w:pPr>
      <w:r w:rsidRPr="00FA6577">
        <w:rPr>
          <w:rStyle w:val="Bold"/>
        </w:rPr>
        <w:t>Line 31 – Net debt benchmark.</w:t>
      </w:r>
      <w:r>
        <w:t xml:space="preserve"> If the value in Line 30 is greater than 5, enter </w:t>
      </w:r>
      <w:r w:rsidRPr="00FA6577">
        <w:rPr>
          <w:rStyle w:val="italic"/>
        </w:rPr>
        <w:t>Weak</w:t>
      </w:r>
      <w:r>
        <w:t xml:space="preserve">. If the value is less than 2, enter </w:t>
      </w:r>
      <w:r w:rsidRPr="00FA6577">
        <w:rPr>
          <w:rStyle w:val="italic"/>
        </w:rPr>
        <w:t>Strong</w:t>
      </w:r>
      <w:r>
        <w:t xml:space="preserve">. Otherwise, enter </w:t>
      </w:r>
      <w:r w:rsidRPr="00FA6577">
        <w:rPr>
          <w:rStyle w:val="italic"/>
        </w:rPr>
        <w:t>Mid-Range</w:t>
      </w:r>
      <w:r>
        <w:t xml:space="preserve">. </w:t>
      </w:r>
      <w:r w:rsidRPr="00FA6577">
        <w:rPr>
          <w:rStyle w:val="Bold"/>
        </w:rPr>
        <w:t>Note</w:t>
      </w:r>
      <w:r>
        <w:t>: this information is also used in Line 48b of Schedule 6–</w:t>
      </w:r>
      <w:r w:rsidR="00094A10">
        <w:t xml:space="preserve"> FINANCIAL CAPABILITY </w:t>
      </w:r>
      <w:bookmarkStart w:id="259" w:name="_Toc127078284"/>
    </w:p>
    <w:p w:rsidR="00E17BF3" w:rsidRDefault="00E17BF3" w:rsidP="003859D2">
      <w:pPr>
        <w:pStyle w:val="Heading2"/>
        <w:rPr>
          <w:szCs w:val="20"/>
        </w:rPr>
      </w:pPr>
      <w:bookmarkStart w:id="260" w:name="_Toc243725288"/>
      <w:bookmarkStart w:id="261" w:name="_Toc243809470"/>
      <w:bookmarkStart w:id="262" w:name="_Toc285015634"/>
      <w:r>
        <w:t>Socioeconomic Indicators</w:t>
      </w:r>
      <w:bookmarkEnd w:id="259"/>
      <w:bookmarkEnd w:id="260"/>
      <w:bookmarkEnd w:id="261"/>
      <w:bookmarkEnd w:id="262"/>
    </w:p>
    <w:p w:rsidR="00E17BF3" w:rsidRDefault="00E17BF3" w:rsidP="00FA6577">
      <w:pPr>
        <w:pStyle w:val="BodyText"/>
      </w:pPr>
      <w:r>
        <w:t>The socioeconomic indicators are used to assess the general economic well-being of residential users in the permittee's service area. The indicators used to assess economic conditions are unemployment rate and MHI. When the permittee has additional socioeconomic data, it m</w:t>
      </w:r>
      <w:r w:rsidR="003D6792">
        <w:t>ight</w:t>
      </w:r>
      <w:r>
        <w:t xml:space="preserve"> want to submit the data to the appropriate EPA and state NPDES authorities to facilitate a better understanding of the permittee's unique economic conditions. Several examples of this type of socioeconomic data </w:t>
      </w:r>
      <w:r w:rsidR="003D6792">
        <w:t>w</w:t>
      </w:r>
      <w:r>
        <w:t>ould be poverty rate, population growth, and employment projections.</w:t>
      </w:r>
    </w:p>
    <w:p w:rsidR="00E17BF3" w:rsidRDefault="00E17BF3" w:rsidP="003859D2">
      <w:pPr>
        <w:pStyle w:val="Heading2"/>
        <w:rPr>
          <w:iCs/>
          <w:szCs w:val="20"/>
        </w:rPr>
      </w:pPr>
      <w:bookmarkStart w:id="263" w:name="_Toc243725289"/>
      <w:bookmarkStart w:id="264" w:name="_Toc243809471"/>
      <w:bookmarkStart w:id="265" w:name="_Toc285015635"/>
      <w:r>
        <w:t>Unemployment Rate</w:t>
      </w:r>
      <w:bookmarkEnd w:id="263"/>
      <w:bookmarkEnd w:id="264"/>
      <w:bookmarkEnd w:id="265"/>
    </w:p>
    <w:p w:rsidR="0062037C" w:rsidRDefault="00E17BF3" w:rsidP="00FA6577">
      <w:pPr>
        <w:pStyle w:val="BodyText"/>
      </w:pPr>
      <w:r>
        <w:t xml:space="preserve">The unemployment rate is defined as the percent of a permittee's service area residents on the unemployment rolls. The BLS maintains current unemployment rate figures for municipalities and counties </w:t>
      </w:r>
      <w:r w:rsidR="003D6792">
        <w:t xml:space="preserve">with more than </w:t>
      </w:r>
      <w:r>
        <w:t>25,000</w:t>
      </w:r>
      <w:r w:rsidR="00A2599A">
        <w:t xml:space="preserve"> people</w:t>
      </w:r>
      <w:r>
        <w:t xml:space="preserve">. </w:t>
      </w:r>
      <w:r>
        <w:lastRenderedPageBreak/>
        <w:t>National and state unemployment data are also available for comparison purposes</w:t>
      </w:r>
      <w:r w:rsidR="0062037C">
        <w:t>.</w:t>
      </w:r>
    </w:p>
    <w:p w:rsidR="00E17BF3" w:rsidRDefault="00E17BF3" w:rsidP="00FA6577">
      <w:pPr>
        <w:pStyle w:val="BodyText"/>
      </w:pPr>
      <w:r w:rsidRPr="00FA6577">
        <w:rPr>
          <w:rStyle w:val="Bold"/>
        </w:rPr>
        <w:t>Line 32 – Unemployment rate for permittee service area.</w:t>
      </w:r>
      <w:r>
        <w:t xml:space="preserve"> Enter the unemployment rate for the permittee's service area. </w:t>
      </w:r>
      <w:r w:rsidR="003D6792">
        <w:t>B</w:t>
      </w:r>
      <w:r>
        <w:t xml:space="preserve">e sure to use the correct value to represent the percentage. The spreadsheet interprets the number entered as that percent, so the permittee would enter 6 for 6 </w:t>
      </w:r>
      <w:r w:rsidR="000F69BF">
        <w:t>percent, and</w:t>
      </w:r>
      <w:r w:rsidR="00CA6BF3">
        <w:t xml:space="preserve"> so on</w:t>
      </w:r>
      <w:r>
        <w:t>. If doing the calculations by hand, use 0.06 for 6 percent. Please indicate the source in the line below the question.</w:t>
      </w:r>
    </w:p>
    <w:p w:rsidR="00E17BF3" w:rsidRDefault="00E17BF3">
      <w:pPr>
        <w:spacing w:before="240" w:after="240"/>
        <w:rPr>
          <w:rFonts w:cs="Arial"/>
          <w:szCs w:val="20"/>
        </w:rPr>
      </w:pPr>
      <w:r w:rsidRPr="00FA6577">
        <w:rPr>
          <w:rStyle w:val="Bold"/>
        </w:rPr>
        <w:t>Line 33 – Unemployment rate for permittee’s county.</w:t>
      </w:r>
      <w:r>
        <w:rPr>
          <w:rFonts w:cs="Arial"/>
          <w:szCs w:val="20"/>
        </w:rPr>
        <w:t xml:space="preserve"> Enter the unemployment rate for the permittee's county. </w:t>
      </w:r>
      <w:r w:rsidR="003D6792">
        <w:rPr>
          <w:rFonts w:cs="Arial"/>
          <w:szCs w:val="20"/>
        </w:rPr>
        <w:t>B</w:t>
      </w:r>
      <w:r>
        <w:rPr>
          <w:rFonts w:cs="Arial"/>
          <w:szCs w:val="20"/>
        </w:rPr>
        <w:t>e sure to use the correct value to represent the</w:t>
      </w:r>
      <w:r w:rsidRPr="00FA6577">
        <w:rPr>
          <w:rStyle w:val="BodyTextChar"/>
        </w:rPr>
        <w:t xml:space="preserve"> </w:t>
      </w:r>
      <w:r>
        <w:rPr>
          <w:rFonts w:cs="Arial"/>
          <w:szCs w:val="20"/>
        </w:rPr>
        <w:t xml:space="preserve">percentage. The spreadsheet interprets the number entered as that percent, so the permittee would enter 6 for 6 percent, </w:t>
      </w:r>
      <w:r w:rsidR="00CA6BF3">
        <w:rPr>
          <w:rFonts w:cs="Arial"/>
          <w:szCs w:val="20"/>
        </w:rPr>
        <w:t>and so on</w:t>
      </w:r>
      <w:r>
        <w:rPr>
          <w:rFonts w:cs="Arial"/>
          <w:szCs w:val="20"/>
        </w:rPr>
        <w:t xml:space="preserve">. If doing the calculations by hand, use 0.06 for 6 percent. This will be used </w:t>
      </w:r>
      <w:r w:rsidR="003D6792">
        <w:rPr>
          <w:rFonts w:cs="Arial"/>
          <w:szCs w:val="20"/>
        </w:rPr>
        <w:t xml:space="preserve">only </w:t>
      </w:r>
      <w:r>
        <w:rPr>
          <w:rFonts w:cs="Arial"/>
          <w:szCs w:val="20"/>
        </w:rPr>
        <w:t xml:space="preserve">when the unemployment rate for a permittee's service area is not available. </w:t>
      </w:r>
      <w:r w:rsidR="003D6792">
        <w:rPr>
          <w:rFonts w:cs="Arial"/>
          <w:szCs w:val="20"/>
        </w:rPr>
        <w:t>I</w:t>
      </w:r>
      <w:r>
        <w:rPr>
          <w:rFonts w:cs="Arial"/>
          <w:szCs w:val="20"/>
        </w:rPr>
        <w:t>ndicate the source in the line below the question.</w:t>
      </w:r>
    </w:p>
    <w:p w:rsidR="00E17BF3" w:rsidRDefault="00E17BF3" w:rsidP="00FA6577">
      <w:pPr>
        <w:pStyle w:val="BodyText"/>
      </w:pPr>
      <w:r w:rsidRPr="00FA6577">
        <w:rPr>
          <w:rStyle w:val="Bold"/>
        </w:rPr>
        <w:t>Line 34 – Average national unemployment rate.</w:t>
      </w:r>
      <w:r>
        <w:t xml:space="preserve"> Enter the current average national unemployment rate. Be sure to use the correct value to represent the percentage. The spreadsheet interprets the number entered as that percent, so the permittee would enter 6 for 6 percent, </w:t>
      </w:r>
      <w:r w:rsidR="00CA6BF3">
        <w:t>and so on</w:t>
      </w:r>
      <w:r>
        <w:t xml:space="preserve">. If doing the calculations by hand, use 0.06 for 6 percent. </w:t>
      </w:r>
      <w:r w:rsidR="00835815">
        <w:t>I</w:t>
      </w:r>
      <w:r>
        <w:t>ndicate the source of this number on the line below the question.</w:t>
      </w:r>
    </w:p>
    <w:p w:rsidR="00E17BF3" w:rsidRDefault="00E17BF3" w:rsidP="00FA6577">
      <w:pPr>
        <w:pStyle w:val="BodyText"/>
      </w:pPr>
      <w:r w:rsidRPr="00FA6577">
        <w:rPr>
          <w:rStyle w:val="Bold"/>
        </w:rPr>
        <w:t xml:space="preserve">Line 35 – Unemployment Rate Benchmark. </w:t>
      </w:r>
      <w:r>
        <w:t>If the local unemployment rate is 1</w:t>
      </w:r>
      <w:r w:rsidR="00CA6BF3">
        <w:t xml:space="preserve"> percent</w:t>
      </w:r>
      <w:r>
        <w:t xml:space="preserve"> or more below the national </w:t>
      </w:r>
      <w:r>
        <w:t xml:space="preserve">average, enter </w:t>
      </w:r>
      <w:r w:rsidRPr="00FA6577">
        <w:rPr>
          <w:rStyle w:val="italic"/>
        </w:rPr>
        <w:t>Strong</w:t>
      </w:r>
      <w:r>
        <w:t>. If the local rate is 1</w:t>
      </w:r>
      <w:r w:rsidR="00CA6BF3">
        <w:t xml:space="preserve"> percent</w:t>
      </w:r>
      <w:r>
        <w:t xml:space="preserve"> or more above the national average, enter </w:t>
      </w:r>
      <w:r w:rsidRPr="00FA6577">
        <w:rPr>
          <w:rStyle w:val="italic"/>
        </w:rPr>
        <w:t>Weak</w:t>
      </w:r>
      <w:r>
        <w:t xml:space="preserve">. Otherwise, enter </w:t>
      </w:r>
      <w:r w:rsidRPr="00FA6577">
        <w:rPr>
          <w:rStyle w:val="italic"/>
        </w:rPr>
        <w:t>Mid-Range</w:t>
      </w:r>
      <w:r>
        <w:t>.</w:t>
      </w:r>
    </w:p>
    <w:p w:rsidR="00E17BF3" w:rsidRDefault="00E17BF3" w:rsidP="00FA6577">
      <w:pPr>
        <w:pStyle w:val="BodyText"/>
      </w:pPr>
      <w:r>
        <w:t xml:space="preserve">For example, if the national average unemployment rate is 6 percent and the unemployment rate for the permittee service area </w:t>
      </w:r>
      <w:r w:rsidR="00835815">
        <w:t>i</w:t>
      </w:r>
      <w:r>
        <w:t xml:space="preserve">s 7 percent, the unemployment rate benchmark would be </w:t>
      </w:r>
      <w:r w:rsidRPr="00FA6577">
        <w:rPr>
          <w:rStyle w:val="italic"/>
        </w:rPr>
        <w:t>weak</w:t>
      </w:r>
      <w:r>
        <w:t xml:space="preserve">. If the unemployment rate for the permittee service area </w:t>
      </w:r>
      <w:r w:rsidR="00835815">
        <w:t>i</w:t>
      </w:r>
      <w:r>
        <w:t xml:space="preserve">s 5 percent, the unemployment rate benchmark would be </w:t>
      </w:r>
      <w:r w:rsidRPr="00FA6577">
        <w:rPr>
          <w:rStyle w:val="italic"/>
        </w:rPr>
        <w:t>strong</w:t>
      </w:r>
      <w:r>
        <w:t>.</w:t>
      </w:r>
    </w:p>
    <w:p w:rsidR="00E17BF3" w:rsidRDefault="00E17BF3" w:rsidP="00FA6577">
      <w:pPr>
        <w:pStyle w:val="BodyText"/>
      </w:pPr>
      <w:r w:rsidRPr="00FA6577">
        <w:rPr>
          <w:rStyle w:val="Bold"/>
        </w:rPr>
        <w:t>Note</w:t>
      </w:r>
      <w:r>
        <w:t xml:space="preserve">: </w:t>
      </w:r>
      <w:r w:rsidR="00835815">
        <w:t>T</w:t>
      </w:r>
      <w:r>
        <w:t>his information is also used in Line 48c of Schedule 6–</w:t>
      </w:r>
      <w:r w:rsidR="001E3E5B">
        <w:t xml:space="preserve"> FINANCIAL CAPABILITY</w:t>
      </w:r>
      <w:r>
        <w:t>.</w:t>
      </w:r>
    </w:p>
    <w:p w:rsidR="00E17BF3" w:rsidRDefault="00E17BF3" w:rsidP="003859D2">
      <w:pPr>
        <w:pStyle w:val="Heading2"/>
        <w:rPr>
          <w:iCs/>
          <w:szCs w:val="20"/>
        </w:rPr>
      </w:pPr>
      <w:bookmarkStart w:id="266" w:name="_Toc243725290"/>
      <w:bookmarkStart w:id="267" w:name="_Toc243809472"/>
      <w:bookmarkStart w:id="268" w:name="_Toc285015636"/>
      <w:r>
        <w:t>Median Household Income</w:t>
      </w:r>
      <w:bookmarkEnd w:id="266"/>
      <w:bookmarkEnd w:id="267"/>
      <w:bookmarkEnd w:id="268"/>
    </w:p>
    <w:p w:rsidR="0062037C" w:rsidRDefault="00E17BF3" w:rsidP="00FA6577">
      <w:pPr>
        <w:pStyle w:val="BodyText"/>
      </w:pPr>
      <w:r>
        <w:t>MHI is defined as the median amount of total income dollars received per household during a calendar year in a</w:t>
      </w:r>
      <w:r w:rsidR="00835815">
        <w:t>n</w:t>
      </w:r>
      <w:r>
        <w:t xml:space="preserve"> area. It serves as an overall indicator of community earning capacity</w:t>
      </w:r>
      <w:r w:rsidR="0062037C">
        <w:t>.</w:t>
      </w:r>
    </w:p>
    <w:p w:rsidR="0062037C" w:rsidRDefault="00E17BF3" w:rsidP="00FA6577">
      <w:pPr>
        <w:pStyle w:val="BodyText"/>
        <w:rPr>
          <w:szCs w:val="20"/>
        </w:rPr>
      </w:pPr>
      <w:r w:rsidRPr="00FA6577">
        <w:rPr>
          <w:rStyle w:val="Bold"/>
        </w:rPr>
        <w:t>Line 36 – Median household income - permittee.</w:t>
      </w:r>
      <w:r>
        <w:rPr>
          <w:szCs w:val="20"/>
        </w:rPr>
        <w:t xml:space="preserve"> Copy the value already entered in Line 20</w:t>
      </w:r>
      <w:r w:rsidR="0062037C">
        <w:rPr>
          <w:szCs w:val="20"/>
        </w:rPr>
        <w:t>.</w:t>
      </w:r>
    </w:p>
    <w:p w:rsidR="0062037C" w:rsidRDefault="00E17BF3" w:rsidP="00FA6577">
      <w:pPr>
        <w:pStyle w:val="BodyText"/>
      </w:pPr>
      <w:r w:rsidRPr="00FA6577">
        <w:rPr>
          <w:rStyle w:val="Bold"/>
        </w:rPr>
        <w:t xml:space="preserve">Line 37 – Census Year national MHI. </w:t>
      </w:r>
      <w:r>
        <w:t xml:space="preserve">Enter the most recent census value for National </w:t>
      </w:r>
      <w:r w:rsidR="00E82838">
        <w:t>MHI</w:t>
      </w:r>
      <w:r>
        <w:t xml:space="preserve">. The </w:t>
      </w:r>
      <w:r w:rsidR="00835815">
        <w:t>n</w:t>
      </w:r>
      <w:r>
        <w:t xml:space="preserve">ational </w:t>
      </w:r>
      <w:r w:rsidR="00835815">
        <w:t>a</w:t>
      </w:r>
      <w:r>
        <w:t xml:space="preserve">verage MHI in 2004 was $44,389 </w:t>
      </w:r>
      <w:r w:rsidR="00E82838" w:rsidRPr="0017079F">
        <w:t>(Author year)</w:t>
      </w:r>
      <w:r w:rsidRPr="0017079F">
        <w:t>(http://www.census.gov/</w:t>
      </w:r>
      <w:r w:rsidR="0025141C">
        <w:br/>
      </w:r>
      <w:r w:rsidRPr="0017079F">
        <w:t>Press-Release/www/releases/</w:t>
      </w:r>
      <w:r w:rsidR="0025141C">
        <w:br/>
      </w:r>
      <w:r w:rsidRPr="0017079F">
        <w:t>archives/income_wealth/005647.html)</w:t>
      </w:r>
      <w:r w:rsidR="0062037C" w:rsidRPr="0017079F">
        <w:t>.</w:t>
      </w:r>
    </w:p>
    <w:p w:rsidR="00E17BF3" w:rsidRDefault="00E17BF3" w:rsidP="00FA6577">
      <w:pPr>
        <w:pStyle w:val="BodyText"/>
      </w:pPr>
      <w:r w:rsidRPr="00FA6577">
        <w:rPr>
          <w:rStyle w:val="Bold"/>
        </w:rPr>
        <w:t>Line 38 – MHI adjustment factor.</w:t>
      </w:r>
      <w:r>
        <w:t xml:space="preserve"> Copy the value from Line 19.</w:t>
      </w:r>
    </w:p>
    <w:p w:rsidR="0062037C" w:rsidRDefault="00E17BF3" w:rsidP="00FA6577">
      <w:pPr>
        <w:pStyle w:val="BodyText"/>
      </w:pPr>
      <w:r w:rsidRPr="00FA6577">
        <w:rPr>
          <w:rStyle w:val="Bold"/>
        </w:rPr>
        <w:t>Line 39 - Adjusted MHI.</w:t>
      </w:r>
      <w:r>
        <w:t xml:space="preserve"> Multiply the national MHI from Line 37 by the MHI adjustment factor in Line 38</w:t>
      </w:r>
      <w:r w:rsidR="0062037C">
        <w:t>.</w:t>
      </w:r>
    </w:p>
    <w:p w:rsidR="00E17BF3" w:rsidRDefault="00E17BF3" w:rsidP="00FA6577">
      <w:pPr>
        <w:pStyle w:val="BodyText"/>
      </w:pPr>
      <w:r w:rsidRPr="00FA6577">
        <w:rPr>
          <w:rStyle w:val="Bold"/>
        </w:rPr>
        <w:t>Line 40 – MHI Benchmark.</w:t>
      </w:r>
      <w:r>
        <w:t xml:space="preserve"> If the permittee MHI in Line 36 is less than 75</w:t>
      </w:r>
      <w:r w:rsidR="00CA6BF3">
        <w:t xml:space="preserve"> percent</w:t>
      </w:r>
      <w:r>
        <w:t xml:space="preserve"> of the adjusted national MHI in Line 39, enter </w:t>
      </w:r>
      <w:r w:rsidRPr="00FA6577">
        <w:rPr>
          <w:rStyle w:val="italic"/>
        </w:rPr>
        <w:t>Weak</w:t>
      </w:r>
      <w:r>
        <w:t xml:space="preserve">. If the permittee </w:t>
      </w:r>
      <w:r>
        <w:t>MHI is more than 125</w:t>
      </w:r>
      <w:r w:rsidR="00CA6BF3">
        <w:t xml:space="preserve"> percent</w:t>
      </w:r>
      <w:r>
        <w:t xml:space="preserve"> of the adjusted national MHI, enter </w:t>
      </w:r>
      <w:r w:rsidRPr="00FA6577">
        <w:rPr>
          <w:rStyle w:val="italic"/>
        </w:rPr>
        <w:t>Strong</w:t>
      </w:r>
      <w:r>
        <w:t xml:space="preserve">; otherwise, enter </w:t>
      </w:r>
      <w:r w:rsidRPr="00FA6577">
        <w:rPr>
          <w:rStyle w:val="italic"/>
        </w:rPr>
        <w:t>Mid-Range</w:t>
      </w:r>
      <w:r>
        <w:t xml:space="preserve">. </w:t>
      </w:r>
      <w:r w:rsidRPr="00FA6577">
        <w:rPr>
          <w:rStyle w:val="Bold"/>
        </w:rPr>
        <w:t>Note</w:t>
      </w:r>
      <w:r>
        <w:t>: this information is also used in Line 48d of Schedule 6–AFFORDABILTY.</w:t>
      </w:r>
    </w:p>
    <w:p w:rsidR="00E17BF3" w:rsidRDefault="00E17BF3" w:rsidP="003859D2">
      <w:pPr>
        <w:pStyle w:val="Heading2"/>
        <w:rPr>
          <w:szCs w:val="20"/>
        </w:rPr>
      </w:pPr>
      <w:bookmarkStart w:id="269" w:name="_Toc127078286"/>
      <w:bookmarkStart w:id="270" w:name="_Toc243725291"/>
      <w:bookmarkStart w:id="271" w:name="_Toc243809473"/>
      <w:bookmarkStart w:id="272" w:name="_Toc285015637"/>
      <w:r>
        <w:t>Financial Management Indicators</w:t>
      </w:r>
      <w:bookmarkEnd w:id="269"/>
      <w:bookmarkEnd w:id="270"/>
      <w:bookmarkEnd w:id="271"/>
      <w:bookmarkEnd w:id="272"/>
    </w:p>
    <w:p w:rsidR="00E17BF3" w:rsidRDefault="00E17BF3" w:rsidP="00AF4904">
      <w:pPr>
        <w:pStyle w:val="BodyText"/>
      </w:pPr>
      <w:r>
        <w:t xml:space="preserve">The financial management indicators used to evaluate a permittee's financial management ability </w:t>
      </w:r>
      <w:r w:rsidR="007B27AF">
        <w:t>is</w:t>
      </w:r>
      <w:r>
        <w:t xml:space="preserve"> property tax revenue as a percent of full </w:t>
      </w:r>
      <w:r w:rsidR="00835815">
        <w:t>MPV</w:t>
      </w:r>
      <w:r>
        <w:t xml:space="preserve"> and property tax revenue collection rate.</w:t>
      </w:r>
    </w:p>
    <w:p w:rsidR="00E17BF3" w:rsidRDefault="00E17BF3" w:rsidP="00AF4904">
      <w:pPr>
        <w:pStyle w:val="Heading4"/>
      </w:pPr>
      <w:r>
        <w:t>Property Tax Revenues as a Percent of Full MPV</w:t>
      </w:r>
    </w:p>
    <w:p w:rsidR="00E17BF3" w:rsidRDefault="00E17BF3" w:rsidP="00AF4904">
      <w:pPr>
        <w:pStyle w:val="BodyText"/>
      </w:pPr>
      <w:r>
        <w:t xml:space="preserve">This indicator can be referred to as the </w:t>
      </w:r>
      <w:r w:rsidRPr="00FA6577">
        <w:rPr>
          <w:rStyle w:val="italic"/>
        </w:rPr>
        <w:t>property tax burden</w:t>
      </w:r>
      <w:r>
        <w:t xml:space="preserve"> </w:t>
      </w:r>
      <w:r w:rsidR="009C4534">
        <w:t xml:space="preserve">because </w:t>
      </w:r>
      <w:r>
        <w:t xml:space="preserve">it indicates the funding capacity available to support debt on </w:t>
      </w:r>
      <w:r w:rsidR="00835815" w:rsidRPr="00835815">
        <w:t xml:space="preserve">the basis of </w:t>
      </w:r>
      <w:r>
        <w:t xml:space="preserve">the </w:t>
      </w:r>
      <w:r w:rsidR="00835815">
        <w:t xml:space="preserve">community’s </w:t>
      </w:r>
      <w:r>
        <w:t>wealth. It also reflects the effectiveness of management in providing community services.</w:t>
      </w:r>
    </w:p>
    <w:p w:rsidR="00E17BF3" w:rsidRDefault="00E17BF3" w:rsidP="00FA6577">
      <w:pPr>
        <w:pStyle w:val="BodyText"/>
      </w:pPr>
      <w:r>
        <w:t xml:space="preserve">The property assessment data should be readily available through the community or the </w:t>
      </w:r>
      <w:r w:rsidR="00835815">
        <w:t>s</w:t>
      </w:r>
      <w:r>
        <w:t>tate's assessor office (see instructions for Line 29). Property tax revenues are available in communities' annual financial statements. Occasionally, the assessment and tax revenue data of communities partially serviced by the permittee may need to be prorated to provide a clearer picture of the permittee's property tax burden.</w:t>
      </w:r>
    </w:p>
    <w:p w:rsidR="00E17BF3" w:rsidRDefault="00E17BF3" w:rsidP="00FA6577">
      <w:pPr>
        <w:pStyle w:val="BodyText"/>
      </w:pPr>
      <w:r w:rsidRPr="00FA6577">
        <w:rPr>
          <w:rStyle w:val="Bold"/>
        </w:rPr>
        <w:t>Line 41 – Full market value of real property.</w:t>
      </w:r>
      <w:r>
        <w:t xml:space="preserve"> Copy the value from Line 29.</w:t>
      </w:r>
    </w:p>
    <w:p w:rsidR="00E17BF3" w:rsidRDefault="00E17BF3" w:rsidP="00FA6577">
      <w:pPr>
        <w:pStyle w:val="BodyText"/>
      </w:pPr>
      <w:r w:rsidRPr="00FA6577">
        <w:rPr>
          <w:rStyle w:val="Bold"/>
        </w:rPr>
        <w:t xml:space="preserve">Line 42 – Property tax revenues. </w:t>
      </w:r>
      <w:r>
        <w:t>Enter the most recent year's property tax revenue. General fund revenues are primarily property tax receipts.</w:t>
      </w:r>
    </w:p>
    <w:p w:rsidR="00E17BF3" w:rsidRDefault="00E17BF3" w:rsidP="00FA6577">
      <w:pPr>
        <w:pStyle w:val="BodyText"/>
      </w:pPr>
      <w:r w:rsidRPr="00FA6577">
        <w:rPr>
          <w:rStyle w:val="Bold"/>
        </w:rPr>
        <w:lastRenderedPageBreak/>
        <w:t>Line 43 – Property tax revenues as a percent of full MPV</w:t>
      </w:r>
      <w:r>
        <w:t>. Divide Line 42 by Line 41, then multiply by 100</w:t>
      </w:r>
      <w:r w:rsidR="002C4253">
        <w:t>,</w:t>
      </w:r>
      <w:r>
        <w:t xml:space="preserve"> and enter the result on Line 43.</w:t>
      </w:r>
    </w:p>
    <w:p w:rsidR="00E17BF3" w:rsidRPr="00FA6577" w:rsidRDefault="00E17BF3" w:rsidP="00FA6577">
      <w:pPr>
        <w:pStyle w:val="BodyText"/>
        <w:rPr>
          <w:rStyle w:val="Bold"/>
        </w:rPr>
      </w:pPr>
      <w:r w:rsidRPr="00FA6577">
        <w:rPr>
          <w:rStyle w:val="Bold"/>
        </w:rPr>
        <w:t xml:space="preserve">Line 44 – Property Tax Benchmark. </w:t>
      </w:r>
      <w:r>
        <w:rPr>
          <w:bCs/>
        </w:rPr>
        <w:t>If the value in Line 43 is above 4</w:t>
      </w:r>
      <w:r w:rsidR="00CA6BF3">
        <w:rPr>
          <w:bCs/>
        </w:rPr>
        <w:t xml:space="preserve"> percent</w:t>
      </w:r>
      <w:r>
        <w:rPr>
          <w:bCs/>
        </w:rPr>
        <w:t xml:space="preserve">, enter </w:t>
      </w:r>
      <w:r w:rsidRPr="00FA6577">
        <w:rPr>
          <w:rStyle w:val="italic"/>
        </w:rPr>
        <w:t>Weak</w:t>
      </w:r>
      <w:r>
        <w:rPr>
          <w:bCs/>
        </w:rPr>
        <w:t>. If the value is below 2</w:t>
      </w:r>
      <w:r w:rsidR="00CA6BF3">
        <w:rPr>
          <w:bCs/>
        </w:rPr>
        <w:t xml:space="preserve"> percent</w:t>
      </w:r>
      <w:r>
        <w:rPr>
          <w:bCs/>
        </w:rPr>
        <w:t xml:space="preserve">, enter </w:t>
      </w:r>
      <w:r w:rsidRPr="00FA6577">
        <w:rPr>
          <w:rStyle w:val="italic"/>
        </w:rPr>
        <w:t>Strong</w:t>
      </w:r>
      <w:r>
        <w:rPr>
          <w:bCs/>
        </w:rPr>
        <w:t xml:space="preserve">. Otherwise, enter </w:t>
      </w:r>
      <w:r w:rsidRPr="00FA6577">
        <w:rPr>
          <w:rStyle w:val="italic"/>
        </w:rPr>
        <w:t>Mid-Range</w:t>
      </w:r>
      <w:r>
        <w:rPr>
          <w:bCs/>
        </w:rPr>
        <w:t xml:space="preserve">. </w:t>
      </w:r>
      <w:r w:rsidRPr="00FA6577">
        <w:rPr>
          <w:rStyle w:val="Bold"/>
        </w:rPr>
        <w:t>Note</w:t>
      </w:r>
      <w:r>
        <w:rPr>
          <w:bCs/>
        </w:rPr>
        <w:t>: this information is also used in Line 48e of Schedule 6–</w:t>
      </w:r>
      <w:r w:rsidR="00094A10">
        <w:rPr>
          <w:bCs/>
        </w:rPr>
        <w:t xml:space="preserve">FINANCIAL CAPABILITY </w:t>
      </w:r>
      <w:r>
        <w:rPr>
          <w:bCs/>
        </w:rPr>
        <w:t>.</w:t>
      </w:r>
    </w:p>
    <w:p w:rsidR="00E17BF3" w:rsidRDefault="00E17BF3" w:rsidP="003859D2">
      <w:pPr>
        <w:pStyle w:val="Heading2"/>
        <w:rPr>
          <w:iCs/>
          <w:szCs w:val="20"/>
        </w:rPr>
      </w:pPr>
      <w:bookmarkStart w:id="273" w:name="_Toc243725292"/>
      <w:bookmarkStart w:id="274" w:name="_Toc243809474"/>
      <w:bookmarkStart w:id="275" w:name="_Toc285015638"/>
      <w:r>
        <w:t>Property Tax and Collection Rate</w:t>
      </w:r>
      <w:bookmarkEnd w:id="273"/>
      <w:bookmarkEnd w:id="274"/>
      <w:bookmarkEnd w:id="275"/>
    </w:p>
    <w:p w:rsidR="00E17BF3" w:rsidRDefault="00E17BF3" w:rsidP="00FA6577">
      <w:pPr>
        <w:pStyle w:val="BodyText"/>
      </w:pPr>
      <w:r>
        <w:t xml:space="preserve">The property tax revenue collection rate is an indicator of the efficiency of the tax collection system and the </w:t>
      </w:r>
      <w:r w:rsidR="002E2A88">
        <w:t xml:space="preserve">ability of the community to support the </w:t>
      </w:r>
      <w:r>
        <w:t>tax levels.</w:t>
      </w:r>
    </w:p>
    <w:p w:rsidR="00E17BF3" w:rsidRDefault="00E17BF3" w:rsidP="00FA6577">
      <w:pPr>
        <w:pStyle w:val="BodyText"/>
      </w:pPr>
      <w:r>
        <w:t>Property taxes levied can be computed by multiplying the assessed value of real property by the property tax rate, both of which are available from a community's financial statements or the state assessor's office. Property tax revenues are available in communities' annual financial statements. Occasionally, the assessment and tax revenue data of communities partially serviced by the permittee m</w:t>
      </w:r>
      <w:r w:rsidR="002C4253">
        <w:t>ight</w:t>
      </w:r>
      <w:r>
        <w:t xml:space="preserve"> have to be prorated to provide a clearer picture of the permittee's property tax revenue collection rate.</w:t>
      </w:r>
    </w:p>
    <w:p w:rsidR="0062037C" w:rsidRDefault="00E17BF3" w:rsidP="00FA6577">
      <w:pPr>
        <w:pStyle w:val="BodyText"/>
      </w:pPr>
      <w:r w:rsidRPr="00FA6577">
        <w:rPr>
          <w:rStyle w:val="Bold"/>
        </w:rPr>
        <w:t>Line 45 – Property taxes levied.</w:t>
      </w:r>
      <w:r>
        <w:t xml:space="preserve"> Enter </w:t>
      </w:r>
      <w:r w:rsidR="002C4253">
        <w:t xml:space="preserve">on Line 45 </w:t>
      </w:r>
      <w:r>
        <w:t>the property taxes levied</w:t>
      </w:r>
      <w:r w:rsidR="0062037C">
        <w:t>.</w:t>
      </w:r>
    </w:p>
    <w:p w:rsidR="00E17BF3" w:rsidRDefault="00E17BF3" w:rsidP="00FA6577">
      <w:pPr>
        <w:pStyle w:val="BodyText"/>
      </w:pPr>
      <w:r w:rsidRPr="00FA6577">
        <w:rPr>
          <w:rStyle w:val="Bold"/>
        </w:rPr>
        <w:t>Line 46 – Property tax revenue collection rate.</w:t>
      </w:r>
      <w:r>
        <w:t xml:space="preserve"> Divide Line 42 by Line 45, and then multiply by 100 to present the collection rate as a percentage. Enter th</w:t>
      </w:r>
      <w:r w:rsidR="00192AF8">
        <w:t>e</w:t>
      </w:r>
      <w:r>
        <w:t xml:space="preserve"> value on Line 46.</w:t>
      </w:r>
    </w:p>
    <w:p w:rsidR="00E17BF3" w:rsidRDefault="00E17BF3" w:rsidP="00FA6577">
      <w:pPr>
        <w:pStyle w:val="BodyText"/>
      </w:pPr>
      <w:r w:rsidRPr="00FA6577">
        <w:rPr>
          <w:rStyle w:val="Bold"/>
        </w:rPr>
        <w:t>Line 47 – Collection Rate Benchmark</w:t>
      </w:r>
      <w:r>
        <w:t xml:space="preserve">. If the value in Line 46 is below 94, enter </w:t>
      </w:r>
      <w:r w:rsidRPr="00FA6577">
        <w:rPr>
          <w:rStyle w:val="italic"/>
        </w:rPr>
        <w:t>Weak</w:t>
      </w:r>
      <w:r>
        <w:t xml:space="preserve">. If the value is above 98, enter </w:t>
      </w:r>
      <w:r w:rsidRPr="00FA6577">
        <w:rPr>
          <w:rStyle w:val="italic"/>
        </w:rPr>
        <w:t>Strong</w:t>
      </w:r>
      <w:r>
        <w:t xml:space="preserve">. Otherwise, enter </w:t>
      </w:r>
      <w:r w:rsidRPr="00FA6577">
        <w:rPr>
          <w:rStyle w:val="italic"/>
        </w:rPr>
        <w:t>Mid-Range</w:t>
      </w:r>
      <w:r>
        <w:t xml:space="preserve">. </w:t>
      </w:r>
      <w:r w:rsidRPr="00FA6577">
        <w:rPr>
          <w:rStyle w:val="Bold"/>
        </w:rPr>
        <w:t>Note</w:t>
      </w:r>
      <w:r>
        <w:t>: this information is also used in Line 48f of Schedule 6–AFFORDABILTY.</w:t>
      </w:r>
    </w:p>
    <w:p w:rsidR="00E17BF3" w:rsidRDefault="00E17BF3" w:rsidP="003859D2">
      <w:pPr>
        <w:pStyle w:val="Heading2"/>
        <w:rPr>
          <w:szCs w:val="20"/>
        </w:rPr>
      </w:pPr>
      <w:bookmarkStart w:id="276" w:name="_Toc127078288"/>
      <w:bookmarkStart w:id="277" w:name="_Toc243725293"/>
      <w:bookmarkStart w:id="278" w:name="_Toc243809475"/>
      <w:bookmarkStart w:id="279" w:name="_Toc285015639"/>
      <w:r>
        <w:t>Matrix Score: Analyzing Permittee Financial Capability Indicators</w:t>
      </w:r>
      <w:bookmarkEnd w:id="276"/>
      <w:bookmarkEnd w:id="277"/>
      <w:bookmarkEnd w:id="278"/>
      <w:bookmarkEnd w:id="279"/>
    </w:p>
    <w:p w:rsidR="00E17BF3" w:rsidRDefault="00E17BF3" w:rsidP="00FA411F">
      <w:pPr>
        <w:pStyle w:val="BodyText"/>
      </w:pPr>
      <w:r>
        <w:t xml:space="preserve">This section describes how the indicators in the second phase </w:t>
      </w:r>
      <w:r w:rsidR="00192AF8">
        <w:t>can</w:t>
      </w:r>
      <w:r>
        <w:t xml:space="preserve"> be used to generate an overall </w:t>
      </w:r>
      <w:r w:rsidR="00094A10">
        <w:t xml:space="preserve">picture </w:t>
      </w:r>
      <w:r>
        <w:t xml:space="preserve">of a permittee's financial capability. The indicators are compared to national benchmarks to form an overall assessment of the permittee's financial capability and its effect on implementation schedules in the </w:t>
      </w:r>
      <w:r w:rsidR="00192AF8">
        <w:t>LTCP</w:t>
      </w:r>
      <w:r>
        <w:t xml:space="preserve"> or on long-term plans for </w:t>
      </w:r>
      <w:r w:rsidR="005A3962" w:rsidRPr="005A3962">
        <w:t>WWT</w:t>
      </w:r>
      <w:r>
        <w:t>.</w:t>
      </w:r>
    </w:p>
    <w:p w:rsidR="00E17BF3" w:rsidRDefault="00E17BF3" w:rsidP="00FA411F">
      <w:pPr>
        <w:pStyle w:val="BodyText"/>
      </w:pPr>
      <w:r>
        <w:t xml:space="preserve">In situations where a permittee has unique circumstances that </w:t>
      </w:r>
      <w:r w:rsidR="00192AF8">
        <w:t xml:space="preserve">could </w:t>
      </w:r>
      <w:r>
        <w:t xml:space="preserve">affect financial capability, the permittee </w:t>
      </w:r>
      <w:r w:rsidR="00192AF8">
        <w:t xml:space="preserve">can </w:t>
      </w:r>
      <w:r>
        <w:t xml:space="preserve">submit documentation of the unique financial conditions to the appropriate EPA and state NPDES authorities for consideration. The purpose of additional information is to clarify unique circumstances that are not adequately represented by the overall scores </w:t>
      </w:r>
      <w:r w:rsidRPr="00FA411F">
        <w:t>o</w:t>
      </w:r>
      <w:r>
        <w:t>f the selected indicators. An example of a unique financial situation might be where a state or community imposes restrictions on the property taxes that are used to fund sewer service.</w:t>
      </w:r>
    </w:p>
    <w:p w:rsidR="0062037C" w:rsidRDefault="00E17BF3" w:rsidP="00FA411F">
      <w:pPr>
        <w:pStyle w:val="BodyText"/>
      </w:pPr>
      <w:r w:rsidRPr="00FA6577">
        <w:rPr>
          <w:rStyle w:val="Bold"/>
        </w:rPr>
        <w:t xml:space="preserve">Line 48 – Scoring of Financial Capability Benchmarks. </w:t>
      </w:r>
      <w:r>
        <w:t>For each benchmark completed in this form, enter the benchmark and the corresponding score (</w:t>
      </w:r>
      <w:r w:rsidRPr="004D23B9">
        <w:rPr>
          <w:rStyle w:val="italic"/>
        </w:rPr>
        <w:t>Weak</w:t>
      </w:r>
      <w:r>
        <w:t xml:space="preserve"> = 1, </w:t>
      </w:r>
      <w:r w:rsidRPr="004D23B9">
        <w:rPr>
          <w:rStyle w:val="italic"/>
        </w:rPr>
        <w:t>Mid-Range</w:t>
      </w:r>
      <w:r>
        <w:t xml:space="preserve"> = 2, </w:t>
      </w:r>
      <w:r w:rsidRPr="004D23B9">
        <w:rPr>
          <w:rStyle w:val="italic"/>
        </w:rPr>
        <w:t>Strong</w:t>
      </w:r>
      <w:r>
        <w:t xml:space="preserve"> = 3), then sum the scores </w:t>
      </w:r>
      <w:r w:rsidR="00192AF8">
        <w:t xml:space="preserve">and enter the value on </w:t>
      </w:r>
      <w:r>
        <w:t>Line 48g. Each line is described below</w:t>
      </w:r>
      <w:r w:rsidR="0062037C">
        <w:t>.</w:t>
      </w:r>
    </w:p>
    <w:p w:rsidR="00E17BF3" w:rsidRDefault="00E17BF3" w:rsidP="00FA411F">
      <w:pPr>
        <w:pStyle w:val="BodyText"/>
      </w:pPr>
      <w:r w:rsidRPr="00FA6577">
        <w:rPr>
          <w:rStyle w:val="Bold"/>
        </w:rPr>
        <w:t>Line 48a – Bond Rating.</w:t>
      </w:r>
      <w:r>
        <w:t xml:space="preserve"> Enter the bond rating on Line 48a (Line 25 on Schedule 6 – </w:t>
      </w:r>
      <w:r w:rsidR="003F73FC">
        <w:t xml:space="preserve">FINANCIAL </w:t>
      </w:r>
      <w:r w:rsidR="00992743">
        <w:t>CAPABILITY</w:t>
      </w:r>
      <w:r>
        <w:t>. If you are using the electronic version of the form, this value will have been filled in automatically).</w:t>
      </w:r>
    </w:p>
    <w:p w:rsidR="00E17BF3" w:rsidRDefault="00E17BF3" w:rsidP="00FA411F">
      <w:pPr>
        <w:pStyle w:val="BodyText"/>
      </w:pPr>
      <w:r w:rsidRPr="00FA6577">
        <w:rPr>
          <w:rStyle w:val="Bold"/>
        </w:rPr>
        <w:t>Line 48b – Net Debt.</w:t>
      </w:r>
      <w:r>
        <w:t xml:space="preserve"> Enter the net debt on Line 48b (Line 31 on Schedule 6 – </w:t>
      </w:r>
      <w:r w:rsidR="003F73FC">
        <w:t xml:space="preserve">FINANCIAL </w:t>
      </w:r>
      <w:r w:rsidR="00992743">
        <w:t>CAPABILITY</w:t>
      </w:r>
      <w:r>
        <w:t>. If you are using the electronic version of the form, this value will have been filled in automatically).</w:t>
      </w:r>
    </w:p>
    <w:p w:rsidR="00E17BF3" w:rsidRDefault="00E17BF3" w:rsidP="00FA411F">
      <w:pPr>
        <w:pStyle w:val="BodyText"/>
      </w:pPr>
      <w:r w:rsidRPr="00FA6577">
        <w:rPr>
          <w:rStyle w:val="Bold"/>
        </w:rPr>
        <w:t>Line 48c – Unemployment Rate.</w:t>
      </w:r>
      <w:r>
        <w:t xml:space="preserve"> Enter the unemployment rate on Line 48c (Line 35 on Schedule 6 – </w:t>
      </w:r>
      <w:r w:rsidR="003F73FC">
        <w:t xml:space="preserve">FINANCIAL </w:t>
      </w:r>
      <w:r w:rsidR="00992743">
        <w:t>CAPABILITY</w:t>
      </w:r>
      <w:r>
        <w:t>. If you are using the electronic version of the form, this value will have been filled in automatically).</w:t>
      </w:r>
    </w:p>
    <w:p w:rsidR="00E17BF3" w:rsidRDefault="00E17BF3" w:rsidP="00FA411F">
      <w:pPr>
        <w:pStyle w:val="BodyText"/>
      </w:pPr>
      <w:bookmarkStart w:id="280" w:name="OLE_LINK7"/>
      <w:r w:rsidRPr="00FA6577">
        <w:rPr>
          <w:rStyle w:val="Bold"/>
        </w:rPr>
        <w:t>Line 48d – Median Household Income.</w:t>
      </w:r>
      <w:r>
        <w:t xml:space="preserve"> Enter the </w:t>
      </w:r>
      <w:r w:rsidR="00E82838">
        <w:t>MHI</w:t>
      </w:r>
      <w:r>
        <w:t xml:space="preserve"> on Line 48d (Line 40 on Schedule 6 – </w:t>
      </w:r>
      <w:r w:rsidR="003F73FC">
        <w:t xml:space="preserve">FINANCIAL </w:t>
      </w:r>
      <w:r w:rsidR="00992743">
        <w:t>CAPABILITY</w:t>
      </w:r>
      <w:r>
        <w:t>. If you are using the electronic version of the form, this value will have been filled in automatically).</w:t>
      </w:r>
      <w:bookmarkEnd w:id="280"/>
    </w:p>
    <w:p w:rsidR="0062037C" w:rsidRDefault="00E17BF3" w:rsidP="00FA411F">
      <w:pPr>
        <w:pStyle w:val="BodyText"/>
      </w:pPr>
      <w:r w:rsidRPr="00FA6577">
        <w:rPr>
          <w:rStyle w:val="Bold"/>
        </w:rPr>
        <w:t>Line 48e – Property Tax.</w:t>
      </w:r>
      <w:r>
        <w:t xml:space="preserve"> Enter the property tax on Line 48e (Line 44 on Schedule 6 – </w:t>
      </w:r>
      <w:r w:rsidR="003F73FC">
        <w:t xml:space="preserve">FINANCIAL </w:t>
      </w:r>
      <w:r w:rsidR="00992743">
        <w:t>CAPABILITY</w:t>
      </w:r>
      <w:r>
        <w:t>. If you are using the electronic version of the form, this value will have been filled in automatically)</w:t>
      </w:r>
      <w:r w:rsidR="0062037C">
        <w:t>.</w:t>
      </w:r>
    </w:p>
    <w:p w:rsidR="00E17BF3" w:rsidRDefault="00E17BF3" w:rsidP="00FA411F">
      <w:pPr>
        <w:pStyle w:val="BodyText"/>
      </w:pPr>
      <w:r w:rsidRPr="00FA6577">
        <w:rPr>
          <w:rStyle w:val="Bold"/>
        </w:rPr>
        <w:t>Line 48f – Collection Rate.</w:t>
      </w:r>
      <w:r>
        <w:t xml:space="preserve"> Enter the collection rate on Line 48f (Line 47 on Schedule 6 – </w:t>
      </w:r>
      <w:r w:rsidR="003F73FC">
        <w:t xml:space="preserve">FINANCIAL </w:t>
      </w:r>
      <w:r w:rsidR="00992743">
        <w:t>CAPABILITY</w:t>
      </w:r>
      <w:r>
        <w:t>. If you are using the electronic version of the form, this value will have been filled in automatically).</w:t>
      </w:r>
    </w:p>
    <w:p w:rsidR="00E17BF3" w:rsidRDefault="00E17BF3" w:rsidP="00FA411F">
      <w:pPr>
        <w:pStyle w:val="BodyText"/>
      </w:pPr>
      <w:r w:rsidRPr="00FA6577">
        <w:rPr>
          <w:rStyle w:val="Bold"/>
        </w:rPr>
        <w:t>Line 48g – Sum.</w:t>
      </w:r>
      <w:r>
        <w:t xml:space="preserve"> Enter the total by adding 48a through 48f together.</w:t>
      </w:r>
    </w:p>
    <w:p w:rsidR="00E17BF3" w:rsidRDefault="00E17BF3" w:rsidP="00FA411F">
      <w:pPr>
        <w:pStyle w:val="BodyText"/>
      </w:pPr>
      <w:r w:rsidRPr="00FA6577">
        <w:rPr>
          <w:rStyle w:val="Bold"/>
        </w:rPr>
        <w:t xml:space="preserve">Line 49 – Permittee indicators score. </w:t>
      </w:r>
      <w:r>
        <w:t>Divide the result in Line 48g by the number of benchmarks completed to determine the average financial capability score.</w:t>
      </w:r>
    </w:p>
    <w:p w:rsidR="00E17BF3" w:rsidRDefault="00E17BF3" w:rsidP="00FA411F">
      <w:pPr>
        <w:pStyle w:val="BodyText"/>
      </w:pPr>
      <w:r w:rsidRPr="00FA6577">
        <w:rPr>
          <w:rStyle w:val="Bold"/>
        </w:rPr>
        <w:t xml:space="preserve">Line 50 – Permittee Financial Capability Indicators Descriptor. </w:t>
      </w:r>
      <w:r>
        <w:t xml:space="preserve">If the value in Line 49 is less than 1.5, enter </w:t>
      </w:r>
      <w:r w:rsidRPr="004D23B9">
        <w:rPr>
          <w:rStyle w:val="italic"/>
        </w:rPr>
        <w:t>Weak</w:t>
      </w:r>
      <w:r>
        <w:t xml:space="preserve">. If the value is greater than 2.5, enter </w:t>
      </w:r>
      <w:r w:rsidRPr="004D23B9">
        <w:rPr>
          <w:rStyle w:val="italic"/>
        </w:rPr>
        <w:t>Strong</w:t>
      </w:r>
      <w:r>
        <w:t xml:space="preserve">. Otherwise, enter </w:t>
      </w:r>
      <w:r w:rsidRPr="004D23B9">
        <w:rPr>
          <w:rStyle w:val="italic"/>
        </w:rPr>
        <w:t>Mid-Range</w:t>
      </w:r>
      <w:r>
        <w:t>.</w:t>
      </w:r>
    </w:p>
    <w:p w:rsidR="00E17BF3" w:rsidRDefault="00E17BF3" w:rsidP="00FA411F">
      <w:pPr>
        <w:pStyle w:val="BodyText"/>
        <w:rPr>
          <w:szCs w:val="20"/>
        </w:rPr>
      </w:pPr>
      <w:r w:rsidRPr="00FA6577">
        <w:rPr>
          <w:rStyle w:val="Bold"/>
        </w:rPr>
        <w:t xml:space="preserve">Line 51 – Permittee Residential Indicator Benchmark. </w:t>
      </w:r>
      <w:r>
        <w:rPr>
          <w:szCs w:val="20"/>
        </w:rPr>
        <w:t>Copy from Line 22.</w:t>
      </w:r>
    </w:p>
    <w:p w:rsidR="00AF4904" w:rsidRDefault="00E17BF3" w:rsidP="00FA411F">
      <w:pPr>
        <w:pStyle w:val="BodyText"/>
      </w:pPr>
      <w:r w:rsidRPr="00FA6577">
        <w:rPr>
          <w:rStyle w:val="Bold"/>
        </w:rPr>
        <w:t>Line 52 – Financial Capability.</w:t>
      </w:r>
      <w:r>
        <w:t xml:space="preserve"> Using Table CAF</w:t>
      </w:r>
      <w:r w:rsidR="006A4C24">
        <w:t>-</w:t>
      </w:r>
      <w:r>
        <w:t>4, cross-index the Financial Capability benchmark result in Line 50 with the Residential Indicator benchmark result in Line 51 to determine overall financial capability.</w:t>
      </w:r>
    </w:p>
    <w:tbl>
      <w:tblPr>
        <w:tblpPr w:leftFromText="187" w:rightFromText="187" w:vertAnchor="text" w:horzAnchor="page" w:tblpX="4936" w:tblpY="152"/>
        <w:tblOverlap w:val="never"/>
        <w:tblW w:w="6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86" w:type="dxa"/>
          <w:bottom w:w="43" w:type="dxa"/>
          <w:right w:w="86" w:type="dxa"/>
        </w:tblCellMar>
        <w:tblLook w:val="0000" w:firstRow="0" w:lastRow="0" w:firstColumn="0" w:lastColumn="0" w:noHBand="0" w:noVBand="0"/>
      </w:tblPr>
      <w:tblGrid>
        <w:gridCol w:w="2362"/>
        <w:gridCol w:w="1425"/>
        <w:gridCol w:w="1425"/>
        <w:gridCol w:w="1290"/>
      </w:tblGrid>
      <w:tr w:rsidR="00AF4904" w:rsidTr="00B935A2">
        <w:trPr>
          <w:cantSplit/>
          <w:trHeight w:val="409"/>
        </w:trPr>
        <w:tc>
          <w:tcPr>
            <w:tcW w:w="6502" w:type="dxa"/>
            <w:gridSpan w:val="4"/>
            <w:tcBorders>
              <w:top w:val="nil"/>
              <w:left w:val="nil"/>
              <w:bottom w:val="single" w:sz="4" w:space="0" w:color="auto"/>
              <w:right w:val="nil"/>
            </w:tcBorders>
          </w:tcPr>
          <w:p w:rsidR="00AF4904" w:rsidRDefault="00AF4904" w:rsidP="00B935A2">
            <w:pPr>
              <w:pStyle w:val="Caption"/>
            </w:pPr>
            <w:r>
              <w:t>Table CAF-4. Financial capability</w:t>
            </w:r>
          </w:p>
        </w:tc>
      </w:tr>
      <w:tr w:rsidR="00AF4904" w:rsidTr="00B935A2">
        <w:trPr>
          <w:cantSplit/>
          <w:trHeight w:val="203"/>
        </w:trPr>
        <w:tc>
          <w:tcPr>
            <w:tcW w:w="2362" w:type="dxa"/>
            <w:vMerge w:val="restart"/>
            <w:tcBorders>
              <w:top w:val="single" w:sz="4" w:space="0" w:color="auto"/>
              <w:left w:val="single" w:sz="4" w:space="0" w:color="auto"/>
              <w:bottom w:val="single" w:sz="4" w:space="0" w:color="auto"/>
              <w:right w:val="single" w:sz="4" w:space="0" w:color="auto"/>
            </w:tcBorders>
            <w:vAlign w:val="center"/>
          </w:tcPr>
          <w:p w:rsidR="00AF4904" w:rsidRPr="007106DC" w:rsidRDefault="00AF4904" w:rsidP="00B935A2">
            <w:pPr>
              <w:pStyle w:val="tabletext"/>
              <w:framePr w:hSpace="0" w:wrap="auto" w:vAnchor="margin" w:hAnchor="text" w:xAlign="left" w:yAlign="inline"/>
              <w:suppressOverlap w:val="0"/>
              <w:jc w:val="center"/>
              <w:rPr>
                <w:b/>
              </w:rPr>
            </w:pPr>
            <w:r w:rsidRPr="007106DC">
              <w:rPr>
                <w:b/>
              </w:rPr>
              <w:t>Permittee capability (socioeconomic, debt, and financial indicators)</w:t>
            </w:r>
          </w:p>
        </w:tc>
        <w:tc>
          <w:tcPr>
            <w:tcW w:w="4140" w:type="dxa"/>
            <w:gridSpan w:val="3"/>
            <w:tcBorders>
              <w:top w:val="single" w:sz="4" w:space="0" w:color="auto"/>
              <w:left w:val="single" w:sz="4" w:space="0" w:color="auto"/>
              <w:bottom w:val="single" w:sz="4" w:space="0" w:color="auto"/>
              <w:right w:val="single" w:sz="4" w:space="0" w:color="auto"/>
            </w:tcBorders>
            <w:vAlign w:val="center"/>
          </w:tcPr>
          <w:p w:rsidR="00AF4904" w:rsidRPr="007106DC" w:rsidRDefault="00AF4904" w:rsidP="00B935A2">
            <w:pPr>
              <w:pStyle w:val="tabletext"/>
              <w:framePr w:hSpace="0" w:wrap="auto" w:vAnchor="margin" w:hAnchor="text" w:xAlign="left" w:yAlign="inline"/>
              <w:suppressOverlap w:val="0"/>
              <w:jc w:val="center"/>
              <w:rPr>
                <w:b/>
              </w:rPr>
            </w:pPr>
            <w:r w:rsidRPr="007106DC">
              <w:rPr>
                <w:b/>
              </w:rPr>
              <w:t>Residential(CPH as %MHI)</w:t>
            </w:r>
          </w:p>
        </w:tc>
      </w:tr>
      <w:tr w:rsidR="00AF4904" w:rsidTr="00B935A2">
        <w:trPr>
          <w:cantSplit/>
          <w:trHeight w:val="291"/>
        </w:trPr>
        <w:tc>
          <w:tcPr>
            <w:tcW w:w="2362" w:type="dxa"/>
            <w:vMerge/>
            <w:tcBorders>
              <w:left w:val="single" w:sz="4" w:space="0" w:color="auto"/>
              <w:bottom w:val="single" w:sz="4" w:space="0" w:color="auto"/>
              <w:right w:val="single" w:sz="4" w:space="0" w:color="auto"/>
            </w:tcBorders>
            <w:vAlign w:val="center"/>
          </w:tcPr>
          <w:p w:rsidR="00AF4904" w:rsidRPr="007106DC" w:rsidRDefault="00AF4904" w:rsidP="00B935A2">
            <w:pPr>
              <w:pStyle w:val="tabletext"/>
              <w:framePr w:hSpace="0" w:wrap="auto" w:vAnchor="margin" w:hAnchor="text" w:xAlign="left" w:yAlign="inline"/>
              <w:suppressOverlap w:val="0"/>
              <w:jc w:val="center"/>
              <w:rPr>
                <w:b/>
              </w:rPr>
            </w:pPr>
          </w:p>
        </w:tc>
        <w:tc>
          <w:tcPr>
            <w:tcW w:w="1425" w:type="dxa"/>
            <w:tcBorders>
              <w:top w:val="single" w:sz="4" w:space="0" w:color="auto"/>
              <w:left w:val="single" w:sz="4" w:space="0" w:color="auto"/>
              <w:bottom w:val="single" w:sz="4" w:space="0" w:color="auto"/>
              <w:right w:val="single" w:sz="4" w:space="0" w:color="auto"/>
            </w:tcBorders>
            <w:vAlign w:val="center"/>
          </w:tcPr>
          <w:p w:rsidR="00AF4904" w:rsidRPr="007106DC" w:rsidRDefault="00AF4904" w:rsidP="00B935A2">
            <w:pPr>
              <w:pStyle w:val="tabletext"/>
              <w:framePr w:hSpace="0" w:wrap="auto" w:vAnchor="margin" w:hAnchor="text" w:xAlign="left" w:yAlign="inline"/>
              <w:suppressOverlap w:val="0"/>
              <w:jc w:val="center"/>
              <w:rPr>
                <w:b/>
              </w:rPr>
            </w:pPr>
            <w:r w:rsidRPr="007106DC">
              <w:rPr>
                <w:b/>
              </w:rPr>
              <w:t>Low</w:t>
            </w:r>
          </w:p>
        </w:tc>
        <w:tc>
          <w:tcPr>
            <w:tcW w:w="1425" w:type="dxa"/>
            <w:tcBorders>
              <w:top w:val="single" w:sz="4" w:space="0" w:color="auto"/>
              <w:left w:val="single" w:sz="4" w:space="0" w:color="auto"/>
              <w:bottom w:val="single" w:sz="4" w:space="0" w:color="auto"/>
              <w:right w:val="single" w:sz="4" w:space="0" w:color="auto"/>
            </w:tcBorders>
            <w:vAlign w:val="center"/>
          </w:tcPr>
          <w:p w:rsidR="00AF4904" w:rsidRPr="007106DC" w:rsidRDefault="00AF4904" w:rsidP="00B935A2">
            <w:pPr>
              <w:pStyle w:val="tabletext"/>
              <w:framePr w:hSpace="0" w:wrap="auto" w:vAnchor="margin" w:hAnchor="text" w:xAlign="left" w:yAlign="inline"/>
              <w:suppressOverlap w:val="0"/>
              <w:jc w:val="center"/>
              <w:rPr>
                <w:b/>
              </w:rPr>
            </w:pPr>
            <w:r w:rsidRPr="007106DC">
              <w:rPr>
                <w:b/>
              </w:rPr>
              <w:t>Mid-Range</w:t>
            </w:r>
          </w:p>
        </w:tc>
        <w:tc>
          <w:tcPr>
            <w:tcW w:w="1290" w:type="dxa"/>
            <w:tcBorders>
              <w:top w:val="single" w:sz="4" w:space="0" w:color="auto"/>
              <w:left w:val="single" w:sz="4" w:space="0" w:color="auto"/>
              <w:bottom w:val="single" w:sz="4" w:space="0" w:color="auto"/>
              <w:right w:val="single" w:sz="4" w:space="0" w:color="auto"/>
            </w:tcBorders>
            <w:vAlign w:val="center"/>
          </w:tcPr>
          <w:p w:rsidR="00AF4904" w:rsidRPr="007106DC" w:rsidRDefault="00AF4904" w:rsidP="00B935A2">
            <w:pPr>
              <w:pStyle w:val="tabletext"/>
              <w:framePr w:hSpace="0" w:wrap="auto" w:vAnchor="margin" w:hAnchor="text" w:xAlign="left" w:yAlign="inline"/>
              <w:suppressOverlap w:val="0"/>
              <w:jc w:val="center"/>
              <w:rPr>
                <w:b/>
              </w:rPr>
            </w:pPr>
            <w:r w:rsidRPr="007106DC">
              <w:rPr>
                <w:b/>
              </w:rPr>
              <w:t>High</w:t>
            </w:r>
          </w:p>
        </w:tc>
      </w:tr>
      <w:tr w:rsidR="00AF4904" w:rsidTr="00B935A2">
        <w:trPr>
          <w:cantSplit/>
          <w:trHeight w:val="291"/>
        </w:trPr>
        <w:tc>
          <w:tcPr>
            <w:tcW w:w="2362" w:type="dxa"/>
            <w:tcBorders>
              <w:top w:val="single" w:sz="4" w:space="0" w:color="auto"/>
              <w:left w:val="single" w:sz="4" w:space="0" w:color="auto"/>
              <w:right w:val="single" w:sz="4" w:space="0" w:color="auto"/>
            </w:tcBorders>
            <w:vAlign w:val="center"/>
          </w:tcPr>
          <w:p w:rsidR="00AF4904" w:rsidRDefault="00AF4904" w:rsidP="00B935A2">
            <w:pPr>
              <w:pStyle w:val="tabletext"/>
              <w:framePr w:hSpace="0" w:wrap="auto" w:vAnchor="margin" w:hAnchor="text" w:xAlign="left" w:yAlign="inline"/>
              <w:suppressOverlap w:val="0"/>
              <w:jc w:val="center"/>
            </w:pPr>
            <w:r>
              <w:t>Weak</w:t>
            </w:r>
          </w:p>
        </w:tc>
        <w:tc>
          <w:tcPr>
            <w:tcW w:w="1425" w:type="dxa"/>
            <w:tcBorders>
              <w:left w:val="single" w:sz="4" w:space="0" w:color="auto"/>
            </w:tcBorders>
            <w:vAlign w:val="center"/>
          </w:tcPr>
          <w:p w:rsidR="00AF4904" w:rsidRDefault="00AF4904" w:rsidP="00B935A2">
            <w:pPr>
              <w:pStyle w:val="tabletext"/>
              <w:framePr w:hSpace="0" w:wrap="auto" w:vAnchor="margin" w:hAnchor="text" w:xAlign="left" w:yAlign="inline"/>
              <w:suppressOverlap w:val="0"/>
              <w:jc w:val="center"/>
            </w:pPr>
            <w:r>
              <w:t>Medium Burden</w:t>
            </w:r>
          </w:p>
        </w:tc>
        <w:tc>
          <w:tcPr>
            <w:tcW w:w="1425" w:type="dxa"/>
            <w:vAlign w:val="center"/>
          </w:tcPr>
          <w:p w:rsidR="00AF4904" w:rsidRDefault="00AF4904" w:rsidP="00B935A2">
            <w:pPr>
              <w:pStyle w:val="tabletext"/>
              <w:framePr w:hSpace="0" w:wrap="auto" w:vAnchor="margin" w:hAnchor="text" w:xAlign="left" w:yAlign="inline"/>
              <w:suppressOverlap w:val="0"/>
              <w:jc w:val="center"/>
            </w:pPr>
            <w:r>
              <w:t>High Burden</w:t>
            </w:r>
          </w:p>
        </w:tc>
        <w:tc>
          <w:tcPr>
            <w:tcW w:w="1290" w:type="dxa"/>
            <w:tcBorders>
              <w:right w:val="single" w:sz="4" w:space="0" w:color="auto"/>
            </w:tcBorders>
            <w:vAlign w:val="center"/>
          </w:tcPr>
          <w:p w:rsidR="00AF4904" w:rsidRDefault="00AF4904" w:rsidP="00B935A2">
            <w:pPr>
              <w:pStyle w:val="tabletext"/>
              <w:framePr w:hSpace="0" w:wrap="auto" w:vAnchor="margin" w:hAnchor="text" w:xAlign="left" w:yAlign="inline"/>
              <w:suppressOverlap w:val="0"/>
              <w:jc w:val="center"/>
            </w:pPr>
            <w:r>
              <w:t>High Burden</w:t>
            </w:r>
          </w:p>
        </w:tc>
      </w:tr>
      <w:tr w:rsidR="00AF4904" w:rsidTr="00B935A2">
        <w:trPr>
          <w:cantSplit/>
          <w:trHeight w:val="291"/>
        </w:trPr>
        <w:tc>
          <w:tcPr>
            <w:tcW w:w="2362" w:type="dxa"/>
            <w:tcBorders>
              <w:left w:val="single" w:sz="4" w:space="0" w:color="auto"/>
              <w:right w:val="single" w:sz="4" w:space="0" w:color="auto"/>
            </w:tcBorders>
            <w:vAlign w:val="center"/>
          </w:tcPr>
          <w:p w:rsidR="00AF4904" w:rsidRDefault="00AF4904" w:rsidP="00B935A2">
            <w:pPr>
              <w:pStyle w:val="tabletext"/>
              <w:framePr w:hSpace="0" w:wrap="auto" w:vAnchor="margin" w:hAnchor="text" w:xAlign="left" w:yAlign="inline"/>
              <w:suppressOverlap w:val="0"/>
              <w:jc w:val="center"/>
            </w:pPr>
            <w:r>
              <w:t>Mid-Range</w:t>
            </w:r>
          </w:p>
        </w:tc>
        <w:tc>
          <w:tcPr>
            <w:tcW w:w="1425" w:type="dxa"/>
            <w:tcBorders>
              <w:left w:val="single" w:sz="4" w:space="0" w:color="auto"/>
            </w:tcBorders>
            <w:vAlign w:val="center"/>
          </w:tcPr>
          <w:p w:rsidR="00AF4904" w:rsidRDefault="00AF4904" w:rsidP="00B935A2">
            <w:pPr>
              <w:pStyle w:val="tabletext"/>
              <w:framePr w:hSpace="0" w:wrap="auto" w:vAnchor="margin" w:hAnchor="text" w:xAlign="left" w:yAlign="inline"/>
              <w:suppressOverlap w:val="0"/>
              <w:jc w:val="center"/>
            </w:pPr>
            <w:r>
              <w:t>Low Burden</w:t>
            </w:r>
          </w:p>
        </w:tc>
        <w:tc>
          <w:tcPr>
            <w:tcW w:w="1425" w:type="dxa"/>
            <w:vAlign w:val="center"/>
          </w:tcPr>
          <w:p w:rsidR="00AF4904" w:rsidRDefault="00AF4904" w:rsidP="00B935A2">
            <w:pPr>
              <w:pStyle w:val="tabletext"/>
              <w:framePr w:hSpace="0" w:wrap="auto" w:vAnchor="margin" w:hAnchor="text" w:xAlign="left" w:yAlign="inline"/>
              <w:suppressOverlap w:val="0"/>
              <w:jc w:val="center"/>
            </w:pPr>
            <w:r>
              <w:t>Medium Burden</w:t>
            </w:r>
          </w:p>
        </w:tc>
        <w:tc>
          <w:tcPr>
            <w:tcW w:w="1290" w:type="dxa"/>
            <w:tcBorders>
              <w:right w:val="single" w:sz="4" w:space="0" w:color="auto"/>
            </w:tcBorders>
            <w:vAlign w:val="center"/>
          </w:tcPr>
          <w:p w:rsidR="00AF4904" w:rsidRDefault="00AF4904" w:rsidP="00B935A2">
            <w:pPr>
              <w:pStyle w:val="tabletext"/>
              <w:framePr w:hSpace="0" w:wrap="auto" w:vAnchor="margin" w:hAnchor="text" w:xAlign="left" w:yAlign="inline"/>
              <w:suppressOverlap w:val="0"/>
              <w:jc w:val="center"/>
            </w:pPr>
            <w:r>
              <w:t>High Burden</w:t>
            </w:r>
          </w:p>
        </w:tc>
      </w:tr>
      <w:tr w:rsidR="00AF4904" w:rsidTr="00B935A2">
        <w:trPr>
          <w:cantSplit/>
          <w:trHeight w:val="291"/>
        </w:trPr>
        <w:tc>
          <w:tcPr>
            <w:tcW w:w="2362" w:type="dxa"/>
            <w:tcBorders>
              <w:left w:val="single" w:sz="4" w:space="0" w:color="auto"/>
              <w:right w:val="single" w:sz="4" w:space="0" w:color="auto"/>
            </w:tcBorders>
            <w:vAlign w:val="center"/>
          </w:tcPr>
          <w:p w:rsidR="00AF4904" w:rsidRDefault="00AF4904" w:rsidP="00B935A2">
            <w:pPr>
              <w:pStyle w:val="tabletext"/>
              <w:framePr w:hSpace="0" w:wrap="auto" w:vAnchor="margin" w:hAnchor="text" w:xAlign="left" w:yAlign="inline"/>
              <w:suppressOverlap w:val="0"/>
              <w:jc w:val="center"/>
            </w:pPr>
            <w:r>
              <w:t>Strong</w:t>
            </w:r>
          </w:p>
        </w:tc>
        <w:tc>
          <w:tcPr>
            <w:tcW w:w="1425" w:type="dxa"/>
            <w:tcBorders>
              <w:left w:val="single" w:sz="4" w:space="0" w:color="auto"/>
            </w:tcBorders>
            <w:vAlign w:val="center"/>
          </w:tcPr>
          <w:p w:rsidR="00AF4904" w:rsidRDefault="00AF4904" w:rsidP="00B935A2">
            <w:pPr>
              <w:pStyle w:val="tabletext"/>
              <w:framePr w:hSpace="0" w:wrap="auto" w:vAnchor="margin" w:hAnchor="text" w:xAlign="left" w:yAlign="inline"/>
              <w:suppressOverlap w:val="0"/>
              <w:jc w:val="center"/>
            </w:pPr>
            <w:r>
              <w:t>Low Burden</w:t>
            </w:r>
          </w:p>
        </w:tc>
        <w:tc>
          <w:tcPr>
            <w:tcW w:w="1425" w:type="dxa"/>
            <w:vAlign w:val="center"/>
          </w:tcPr>
          <w:p w:rsidR="00AF4904" w:rsidRDefault="00AF4904" w:rsidP="00B935A2">
            <w:pPr>
              <w:pStyle w:val="tabletext"/>
              <w:framePr w:hSpace="0" w:wrap="auto" w:vAnchor="margin" w:hAnchor="text" w:xAlign="left" w:yAlign="inline"/>
              <w:suppressOverlap w:val="0"/>
              <w:jc w:val="center"/>
            </w:pPr>
            <w:r>
              <w:t>Low Burden</w:t>
            </w:r>
          </w:p>
        </w:tc>
        <w:tc>
          <w:tcPr>
            <w:tcW w:w="1290" w:type="dxa"/>
            <w:tcBorders>
              <w:right w:val="single" w:sz="4" w:space="0" w:color="auto"/>
            </w:tcBorders>
            <w:vAlign w:val="center"/>
          </w:tcPr>
          <w:p w:rsidR="00AF4904" w:rsidRDefault="00AF4904" w:rsidP="00B935A2">
            <w:pPr>
              <w:pStyle w:val="tabletext"/>
              <w:framePr w:hSpace="0" w:wrap="auto" w:vAnchor="margin" w:hAnchor="text" w:xAlign="left" w:yAlign="inline"/>
              <w:suppressOverlap w:val="0"/>
              <w:jc w:val="center"/>
            </w:pPr>
            <w:r>
              <w:t>Medium Burden</w:t>
            </w:r>
          </w:p>
        </w:tc>
      </w:tr>
    </w:tbl>
    <w:p w:rsidR="00E17BF3" w:rsidRDefault="00E17BF3" w:rsidP="00FA411F">
      <w:pPr>
        <w:pStyle w:val="BodyText"/>
      </w:pPr>
    </w:p>
    <w:p w:rsidR="009F2D37" w:rsidRDefault="009F2D37" w:rsidP="00FA411F">
      <w:pPr>
        <w:pStyle w:val="BodyText"/>
      </w:pPr>
      <w:r>
        <w:br w:type="page"/>
      </w:r>
    </w:p>
    <w:p w:rsidR="008F05A4" w:rsidRDefault="008F05A4">
      <w:pPr>
        <w:spacing w:before="240" w:after="240"/>
        <w:rPr>
          <w:rFonts w:cs="Arial"/>
          <w:szCs w:val="20"/>
        </w:rPr>
      </w:pPr>
    </w:p>
    <w:p w:rsidR="00AF4904" w:rsidRDefault="00AF4904">
      <w:pPr>
        <w:spacing w:before="240" w:after="240"/>
        <w:rPr>
          <w:rFonts w:cs="Arial"/>
          <w:szCs w:val="20"/>
        </w:rPr>
        <w:sectPr w:rsidR="00AF4904" w:rsidSect="00A20390">
          <w:headerReference w:type="default" r:id="rId68"/>
          <w:endnotePr>
            <w:numFmt w:val="decimal"/>
            <w:numRestart w:val="eachSect"/>
          </w:endnotePr>
          <w:type w:val="continuous"/>
          <w:pgSz w:w="12240" w:h="15840" w:code="1"/>
          <w:pgMar w:top="1440" w:right="1440" w:bottom="1440" w:left="1440" w:header="720" w:footer="720" w:gutter="0"/>
          <w:cols w:num="3" w:space="360"/>
          <w:docGrid w:linePitch="360"/>
        </w:sectPr>
      </w:pPr>
    </w:p>
    <w:p w:rsidR="00807E7C" w:rsidRDefault="00A730EA" w:rsidP="002709A2">
      <w:pPr>
        <w:pStyle w:val="Heading1"/>
      </w:pPr>
      <w:bookmarkStart w:id="281" w:name="_Toc243725295"/>
      <w:bookmarkStart w:id="282" w:name="_Toc243809476"/>
      <w:bookmarkStart w:id="283" w:name="_Toc285015640"/>
      <w:r>
        <w:t>References</w:t>
      </w:r>
      <w:bookmarkEnd w:id="281"/>
      <w:bookmarkEnd w:id="282"/>
      <w:bookmarkEnd w:id="283"/>
    </w:p>
    <w:p w:rsidR="00B86CA6" w:rsidRPr="00B86CA6" w:rsidRDefault="00B86CA6" w:rsidP="00FA411F">
      <w:pPr>
        <w:pStyle w:val="Reference"/>
      </w:pPr>
      <w:r w:rsidRPr="00B86CA6">
        <w:t xml:space="preserve">American Society of Civil Engineers (ASCE) and the Water Pollution Control Federation. 1969. </w:t>
      </w:r>
      <w:r w:rsidRPr="00B86CA6">
        <w:rPr>
          <w:i/>
        </w:rPr>
        <w:t xml:space="preserve">Design and Construction of Sanitary and Storm Sewers (Manual of Practice No. 37). </w:t>
      </w:r>
      <w:smartTag w:uri="urn:schemas-microsoft-com:office:smarttags" w:element="place">
        <w:smartTag w:uri="urn:schemas-microsoft-com:office:smarttags" w:element="City">
          <w:r w:rsidRPr="00B86CA6">
            <w:t>New York</w:t>
          </w:r>
        </w:smartTag>
        <w:r w:rsidRPr="00B86CA6">
          <w:t xml:space="preserve">, </w:t>
        </w:r>
        <w:smartTag w:uri="urn:schemas-microsoft-com:office:smarttags" w:element="State">
          <w:r w:rsidRPr="00B86CA6">
            <w:t>New York</w:t>
          </w:r>
        </w:smartTag>
      </w:smartTag>
      <w:r w:rsidRPr="00B86CA6">
        <w:rPr>
          <w:i/>
        </w:rPr>
        <w:t>.</w:t>
      </w:r>
    </w:p>
    <w:p w:rsidR="00B86CA6" w:rsidRPr="00B86CA6" w:rsidRDefault="00B86CA6" w:rsidP="00FA411F">
      <w:pPr>
        <w:pStyle w:val="Reference"/>
      </w:pPr>
      <w:r w:rsidRPr="00B86CA6">
        <w:t xml:space="preserve">Huff, Floyd A. and James R. Angel. </w:t>
      </w:r>
      <w:r w:rsidRPr="00B86CA6">
        <w:rPr>
          <w:i/>
        </w:rPr>
        <w:t>Rainfall Frequency Atlas of the Midwest</w:t>
      </w:r>
      <w:r w:rsidRPr="00B86CA6">
        <w:t xml:space="preserve">. </w:t>
      </w:r>
      <w:smartTag w:uri="urn:schemas-microsoft-com:office:smarttags" w:element="PlaceName">
        <w:r w:rsidRPr="00B86CA6">
          <w:t>Illinois</w:t>
        </w:r>
      </w:smartTag>
      <w:r w:rsidRPr="00B86CA6">
        <w:t xml:space="preserve"> </w:t>
      </w:r>
      <w:smartTag w:uri="urn:schemas-microsoft-com:office:smarttags" w:element="PlaceType">
        <w:r w:rsidRPr="00B86CA6">
          <w:t>State</w:t>
        </w:r>
      </w:smartTag>
      <w:r w:rsidRPr="00B86CA6">
        <w:t xml:space="preserve"> Water Survey, </w:t>
      </w:r>
      <w:smartTag w:uri="urn:schemas-microsoft-com:office:smarttags" w:element="place">
        <w:smartTag w:uri="urn:schemas-microsoft-com:office:smarttags" w:element="City">
          <w:r w:rsidRPr="00B86CA6">
            <w:t>Champaign</w:t>
          </w:r>
        </w:smartTag>
      </w:smartTag>
      <w:r w:rsidRPr="00B86CA6">
        <w:t>, Bulletin 71, 1992. (</w:t>
      </w:r>
      <w:hyperlink r:id="rId69" w:history="1">
        <w:r w:rsidRPr="00B86CA6">
          <w:rPr>
            <w:rStyle w:val="Hyperlink"/>
            <w:color w:val="000000"/>
          </w:rPr>
          <w:t>http://www.isws.illinois.edu/pubdoc/B/ISWSB-71.pdf</w:t>
        </w:r>
      </w:hyperlink>
      <w:r w:rsidRPr="00B86CA6">
        <w:t>, Date accessed October 22, 2009.)</w:t>
      </w:r>
    </w:p>
    <w:p w:rsidR="00807E7C" w:rsidRPr="00BA3C41" w:rsidRDefault="00807E7C" w:rsidP="00FA411F">
      <w:pPr>
        <w:pStyle w:val="Reference"/>
      </w:pPr>
      <w:r>
        <w:t xml:space="preserve">MWCOG (Metropolitan Washington Council of Governments). 2001 </w:t>
      </w:r>
      <w:r w:rsidRPr="00BA3C41">
        <w:rPr>
          <w:i/>
        </w:rPr>
        <w:t>Combined Sewer Overflow Rooftop Type Analysis and Rain Barrel Demonstration Project</w:t>
      </w:r>
      <w:r>
        <w:t>. Metropolitan Washington Council of Governments, Washington, DC.</w:t>
      </w:r>
    </w:p>
    <w:p w:rsidR="00807E7C" w:rsidRPr="00D75390" w:rsidRDefault="00807E7C" w:rsidP="00FA411F">
      <w:pPr>
        <w:pStyle w:val="Reference"/>
      </w:pPr>
      <w:r w:rsidRPr="009341BB">
        <w:t>Schueler</w:t>
      </w:r>
      <w:r w:rsidR="009341BB">
        <w:t xml:space="preserve">, T.R. </w:t>
      </w:r>
      <w:r w:rsidRPr="00D75390">
        <w:t xml:space="preserve">2008. </w:t>
      </w:r>
      <w:r w:rsidRPr="00441D40">
        <w:rPr>
          <w:i/>
        </w:rPr>
        <w:t>Technical Support for the Bay-wide Runoff Reduction Method</w:t>
      </w:r>
      <w:r w:rsidRPr="00D75390">
        <w:t>.</w:t>
      </w:r>
      <w:r>
        <w:t xml:space="preserve"> </w:t>
      </w:r>
      <w:r w:rsidR="009341BB">
        <w:t>Chesapeake Stormwater Network</w:t>
      </w:r>
      <w:r w:rsidRPr="009341BB">
        <w:t xml:space="preserve">, </w:t>
      </w:r>
      <w:r w:rsidR="009341BB">
        <w:t>Baltimore, MD</w:t>
      </w:r>
      <w:r w:rsidRPr="009341BB">
        <w:t>.</w:t>
      </w:r>
    </w:p>
    <w:p w:rsidR="00807E7C" w:rsidRPr="00D75390" w:rsidRDefault="00807E7C" w:rsidP="00FA411F">
      <w:pPr>
        <w:pStyle w:val="Reference"/>
      </w:pPr>
      <w:r w:rsidRPr="00D75390">
        <w:t>USEPA</w:t>
      </w:r>
      <w:r>
        <w:t xml:space="preserve"> (</w:t>
      </w:r>
      <w:smartTag w:uri="urn:schemas-microsoft-com:office:smarttags" w:element="place">
        <w:smartTag w:uri="urn:schemas-microsoft-com:office:smarttags" w:element="country-region">
          <w:r w:rsidRPr="00BA3C41">
            <w:t>U.S.</w:t>
          </w:r>
        </w:smartTag>
      </w:smartTag>
      <w:r w:rsidRPr="00BA3C41">
        <w:t xml:space="preserve"> Environmental Protection Agency</w:t>
      </w:r>
      <w:r>
        <w:t>).</w:t>
      </w:r>
      <w:r w:rsidRPr="00D75390">
        <w:t xml:space="preserve"> 1994. Combined Sewer Overflow (CSO) Control Policy. EPA 830-B-94-001.</w:t>
      </w:r>
      <w:r>
        <w:t xml:space="preserve"> </w:t>
      </w:r>
      <w:r w:rsidRPr="00BA3C41">
        <w:t>U.S. Environmental Protection Agency</w:t>
      </w:r>
      <w:r>
        <w:t>, Washington, DC.</w:t>
      </w:r>
      <w:r w:rsidR="00AD5667">
        <w:t xml:space="preserve"> </w:t>
      </w:r>
      <w:r w:rsidR="00AD5667" w:rsidRPr="009341BB">
        <w:t>(</w:t>
      </w:r>
      <w:hyperlink r:id="rId70" w:history="1">
        <w:r w:rsidR="00AD5667" w:rsidRPr="009341BB">
          <w:rPr>
            <w:rStyle w:val="Hyperlink"/>
            <w:color w:val="auto"/>
            <w:u w:val="none"/>
          </w:rPr>
          <w:t>http://www.epa.gov/npdes/ pubs/owm0111.pdf</w:t>
        </w:r>
      </w:hyperlink>
      <w:r w:rsidR="00AD5667" w:rsidRPr="009341BB">
        <w:t>)</w:t>
      </w:r>
      <w:r w:rsidR="00AD5667">
        <w:t>.</w:t>
      </w:r>
    </w:p>
    <w:p w:rsidR="006D0398" w:rsidRPr="006D0398" w:rsidRDefault="00807E7C" w:rsidP="00FA411F">
      <w:pPr>
        <w:pStyle w:val="Reference"/>
      </w:pPr>
      <w:r w:rsidRPr="006D0398">
        <w:t>USEPA (</w:t>
      </w:r>
      <w:smartTag w:uri="urn:schemas-microsoft-com:office:smarttags" w:element="place">
        <w:smartTag w:uri="urn:schemas-microsoft-com:office:smarttags" w:element="country-region">
          <w:r w:rsidRPr="006D0398">
            <w:t>U.S.</w:t>
          </w:r>
        </w:smartTag>
      </w:smartTag>
      <w:r w:rsidRPr="006D0398">
        <w:t xml:space="preserve"> Environmental Protection Agency). 1995</w:t>
      </w:r>
      <w:r w:rsidR="009341BB" w:rsidRPr="006D0398">
        <w:t>a</w:t>
      </w:r>
      <w:r w:rsidRPr="006D0398">
        <w:t>. Combined Sewer Overflows Guidance for Long-Term Control Plans. EPA 832-B-95-002. U.S. Environmental Protection Agency, Office of Water, Washington, DC.</w:t>
      </w:r>
      <w:r w:rsidR="006D0398" w:rsidRPr="006D0398">
        <w:t xml:space="preserve"> (http://www.epa.gov/npdes/pubs/owm0272.pdf)</w:t>
      </w:r>
      <w:r w:rsidR="006D0398">
        <w:t>.</w:t>
      </w:r>
    </w:p>
    <w:p w:rsidR="008A1922" w:rsidRDefault="00807E7C" w:rsidP="00FA411F">
      <w:pPr>
        <w:pStyle w:val="Reference"/>
      </w:pPr>
      <w:r w:rsidRPr="00D75390">
        <w:t>USEPA</w:t>
      </w:r>
      <w:r>
        <w:t xml:space="preserve"> (</w:t>
      </w:r>
      <w:smartTag w:uri="urn:schemas-microsoft-com:office:smarttags" w:element="place">
        <w:smartTag w:uri="urn:schemas-microsoft-com:office:smarttags" w:element="country-region">
          <w:r w:rsidRPr="00BA3C41">
            <w:t>U.S.</w:t>
          </w:r>
        </w:smartTag>
      </w:smartTag>
      <w:r w:rsidRPr="00BA3C41">
        <w:t xml:space="preserve"> Environmental Protection Agency</w:t>
      </w:r>
      <w:r>
        <w:t xml:space="preserve">). </w:t>
      </w:r>
      <w:r w:rsidRPr="009341BB">
        <w:t>1995</w:t>
      </w:r>
      <w:r w:rsidR="009341BB">
        <w:t>b</w:t>
      </w:r>
      <w:r w:rsidRPr="00D75390">
        <w:t>.Combined Sewer Overflows Guidance for Nine Minimum Control Measures. EPA 832-B-95-003.</w:t>
      </w:r>
      <w:r>
        <w:t xml:space="preserve"> </w:t>
      </w:r>
      <w:r w:rsidRPr="00BA3C41">
        <w:t>U.S. Environmental Protection Agency</w:t>
      </w:r>
      <w:r>
        <w:t>,</w:t>
      </w:r>
      <w:r w:rsidRPr="00D63371">
        <w:t xml:space="preserve"> </w:t>
      </w:r>
      <w:r w:rsidRPr="00D75390">
        <w:t>Office of Water</w:t>
      </w:r>
      <w:r>
        <w:t>, Washington, DC.</w:t>
      </w:r>
      <w:r w:rsidR="008A1922" w:rsidRPr="008A1922">
        <w:t xml:space="preserve"> </w:t>
      </w:r>
      <w:r w:rsidR="008A1922" w:rsidRPr="0017079F">
        <w:t>(</w:t>
      </w:r>
      <w:hyperlink r:id="rId71" w:history="1">
        <w:r w:rsidR="008A1922" w:rsidRPr="0017079F">
          <w:rPr>
            <w:rStyle w:val="Hyperlink"/>
            <w:color w:val="auto"/>
            <w:u w:val="none"/>
          </w:rPr>
          <w:t>http://www.epa.gov/npdes/pubs/owm0030.pdf</w:t>
        </w:r>
      </w:hyperlink>
      <w:r w:rsidR="008A1922" w:rsidRPr="0017079F">
        <w:t>).</w:t>
      </w:r>
    </w:p>
    <w:p w:rsidR="00807E7C" w:rsidRPr="005D3DBD" w:rsidRDefault="00807E7C" w:rsidP="00FA411F">
      <w:pPr>
        <w:pStyle w:val="Reference"/>
      </w:pPr>
      <w:r w:rsidRPr="00D75390">
        <w:t>USEPA</w:t>
      </w:r>
      <w:r>
        <w:t xml:space="preserve"> (</w:t>
      </w:r>
      <w:smartTag w:uri="urn:schemas-microsoft-com:office:smarttags" w:element="place">
        <w:smartTag w:uri="urn:schemas-microsoft-com:office:smarttags" w:element="country-region">
          <w:r w:rsidRPr="00BA3C41">
            <w:t>U.S.</w:t>
          </w:r>
        </w:smartTag>
      </w:smartTag>
      <w:r w:rsidRPr="00BA3C41">
        <w:t xml:space="preserve"> Environmental Protection Agency</w:t>
      </w:r>
      <w:r>
        <w:t>).</w:t>
      </w:r>
      <w:r w:rsidRPr="00D75390">
        <w:t xml:space="preserve"> </w:t>
      </w:r>
      <w:r w:rsidRPr="009341BB">
        <w:t>1995</w:t>
      </w:r>
      <w:r w:rsidR="009341BB" w:rsidRPr="009341BB">
        <w:t>c</w:t>
      </w:r>
      <w:r w:rsidRPr="00D75390">
        <w:t xml:space="preserve">.Combined Sewer Overflows Guidance for Permit </w:t>
      </w:r>
      <w:r w:rsidRPr="005D3DBD">
        <w:t>Writers. EPA 832-B-95-008. U.S. Environmental Protection Agency, Office of Water, Washington, DC</w:t>
      </w:r>
      <w:r w:rsidR="00311E3A" w:rsidRPr="005D3DBD">
        <w:t>.</w:t>
      </w:r>
      <w:r w:rsidR="005D3DBD" w:rsidRPr="005D3DBD">
        <w:t xml:space="preserve"> http://cfpub.epa.gov/npdes/cso/guidedocs.cfm</w:t>
      </w:r>
      <w:r w:rsidR="005D3DBD">
        <w:t>.</w:t>
      </w:r>
    </w:p>
    <w:p w:rsidR="00807E7C" w:rsidRPr="00EC605B" w:rsidRDefault="00807E7C" w:rsidP="00FA411F">
      <w:pPr>
        <w:pStyle w:val="Reference"/>
      </w:pPr>
      <w:r w:rsidRPr="00EC605B">
        <w:rPr>
          <w:bCs/>
        </w:rPr>
        <w:t>USEPA (</w:t>
      </w:r>
      <w:smartTag w:uri="urn:schemas-microsoft-com:office:smarttags" w:element="place">
        <w:smartTag w:uri="urn:schemas-microsoft-com:office:smarttags" w:element="country-region">
          <w:r w:rsidRPr="00EC605B">
            <w:rPr>
              <w:bCs/>
            </w:rPr>
            <w:t>U.S.</w:t>
          </w:r>
        </w:smartTag>
      </w:smartTag>
      <w:r w:rsidRPr="00EC605B">
        <w:rPr>
          <w:bCs/>
        </w:rPr>
        <w:t xml:space="preserve"> Environmental Protection Agency).</w:t>
      </w:r>
      <w:r w:rsidRPr="00EC605B">
        <w:t xml:space="preserve"> 1997. </w:t>
      </w:r>
      <w:r w:rsidRPr="00EC605B">
        <w:rPr>
          <w:i/>
        </w:rPr>
        <w:t xml:space="preserve">Combined Sewer Overflows: Guidance for </w:t>
      </w:r>
      <w:r w:rsidRPr="00EC605B">
        <w:t>Financial Capability Assessment and Schedule Development. EPA 832-B-97-004. U.S. Environmental Protection Agency, Washington, DC.</w:t>
      </w:r>
      <w:r w:rsidR="00EC605B" w:rsidRPr="00EC605B">
        <w:t xml:space="preserve"> (</w:t>
      </w:r>
      <w:hyperlink r:id="rId72" w:history="1">
        <w:r w:rsidR="00EC605B" w:rsidRPr="00EC605B">
          <w:rPr>
            <w:rStyle w:val="Hyperlink"/>
            <w:color w:val="000000"/>
          </w:rPr>
          <w:t>http://www.epa.gov/npdes/pubs/csofc.pdf</w:t>
        </w:r>
      </w:hyperlink>
      <w:r w:rsidR="00EC605B" w:rsidRPr="00EC605B">
        <w:t>)</w:t>
      </w:r>
      <w:r w:rsidR="00EC605B">
        <w:t>.</w:t>
      </w:r>
    </w:p>
    <w:p w:rsidR="00AD5667" w:rsidRDefault="00AD5667" w:rsidP="00FA411F">
      <w:pPr>
        <w:pStyle w:val="Reference"/>
      </w:pPr>
      <w:r w:rsidRPr="00AD5667">
        <w:t>USEPA (</w:t>
      </w:r>
      <w:smartTag w:uri="urn:schemas-microsoft-com:office:smarttags" w:element="place">
        <w:smartTag w:uri="urn:schemas-microsoft-com:office:smarttags" w:element="country-region">
          <w:r w:rsidRPr="00AD5667">
            <w:t>U.S.</w:t>
          </w:r>
        </w:smartTag>
      </w:smartTag>
      <w:r w:rsidRPr="00AD5667">
        <w:t xml:space="preserve"> Environmental Protection Agency). 1999. Combined Sewer Overflows Guidance for Monitoring and Modeling. EPA 832-B-99-002. U.S. Environmental Protection Agency, Office of Water, Washington, DC. (</w:t>
      </w:r>
      <w:hyperlink r:id="rId73" w:history="1">
        <w:r w:rsidRPr="00AD5667">
          <w:rPr>
            <w:rStyle w:val="Hyperlink"/>
            <w:color w:val="000000"/>
          </w:rPr>
          <w:t>http://www.epa.gov/npdes/pubs/sewer.pdf</w:t>
        </w:r>
      </w:hyperlink>
      <w:r w:rsidRPr="00AD5667">
        <w:t>).</w:t>
      </w:r>
    </w:p>
    <w:p w:rsidR="006D0398" w:rsidRDefault="006D0398" w:rsidP="00FA411F">
      <w:pPr>
        <w:pStyle w:val="Reference"/>
      </w:pPr>
      <w:r w:rsidRPr="00AD5667">
        <w:t>USEPA (</w:t>
      </w:r>
      <w:smartTag w:uri="urn:schemas-microsoft-com:office:smarttags" w:element="place">
        <w:smartTag w:uri="urn:schemas-microsoft-com:office:smarttags" w:element="country-region">
          <w:r w:rsidRPr="00AD5667">
            <w:t>U.S.</w:t>
          </w:r>
        </w:smartTag>
      </w:smartTag>
      <w:r w:rsidRPr="00AD5667">
        <w:t xml:space="preserve"> Environmental Protection Agency). </w:t>
      </w:r>
      <w:r>
        <w:t>2004</w:t>
      </w:r>
      <w:r w:rsidRPr="00AD5667">
        <w:t xml:space="preserve">. </w:t>
      </w:r>
      <w:r w:rsidRPr="005C6A32">
        <w:rPr>
          <w:i/>
          <w:iCs/>
        </w:rPr>
        <w:t xml:space="preserve">Report to Congress </w:t>
      </w:r>
      <w:r w:rsidRPr="005C6A32">
        <w:rPr>
          <w:bCs/>
          <w:iCs/>
        </w:rPr>
        <w:t xml:space="preserve">– </w:t>
      </w:r>
      <w:r w:rsidRPr="005C6A32">
        <w:rPr>
          <w:i/>
          <w:iCs/>
        </w:rPr>
        <w:t>Impacts and Control of CSOs and SSOs</w:t>
      </w:r>
      <w:r w:rsidR="00311E3A">
        <w:rPr>
          <w:i/>
          <w:iCs/>
        </w:rPr>
        <w:t>.</w:t>
      </w:r>
      <w:r>
        <w:rPr>
          <w:i/>
          <w:iCs/>
        </w:rPr>
        <w:t xml:space="preserve"> </w:t>
      </w:r>
      <w:r w:rsidRPr="0017079F">
        <w:t>EPA 833-R-04-001</w:t>
      </w:r>
      <w:r w:rsidR="00311E3A">
        <w:t xml:space="preserve">. </w:t>
      </w:r>
      <w:r w:rsidRPr="00AD5667">
        <w:t>U.S. Environmental Protection Agency, Office of Water, Washington, DC</w:t>
      </w:r>
      <w:r>
        <w:t>.</w:t>
      </w:r>
    </w:p>
    <w:p w:rsidR="00E17BF3" w:rsidRDefault="008F05A4" w:rsidP="002709A2">
      <w:pPr>
        <w:pStyle w:val="Heading1"/>
      </w:pPr>
      <w:bookmarkStart w:id="284" w:name="OLE_LINK3"/>
      <w:bookmarkStart w:id="285" w:name="_Toc127078211"/>
      <w:bookmarkStart w:id="286" w:name="_Toc243725294"/>
      <w:bookmarkStart w:id="287" w:name="_Toc243809477"/>
      <w:r>
        <w:br w:type="page"/>
      </w:r>
      <w:bookmarkStart w:id="288" w:name="_Toc285015641"/>
      <w:r w:rsidR="00A730EA">
        <w:t>Glossary of Terms</w:t>
      </w:r>
      <w:bookmarkEnd w:id="284"/>
      <w:bookmarkEnd w:id="285"/>
      <w:bookmarkEnd w:id="286"/>
      <w:bookmarkEnd w:id="287"/>
      <w:bookmarkEnd w:id="288"/>
    </w:p>
    <w:p w:rsidR="00E17BF3" w:rsidRDefault="00E17BF3" w:rsidP="004F33CC">
      <w:pPr>
        <w:pStyle w:val="BodyText"/>
      </w:pPr>
      <w:r>
        <w:t xml:space="preserve">This glossary includes a collection of the terms used in this manual and an explanation of each term. To the extent that definitions and explanations provided in this glossary differ from those in EPA regulations or other official documents, they are intended to </w:t>
      </w:r>
      <w:r w:rsidR="00D16C5A">
        <w:t xml:space="preserve">help you </w:t>
      </w:r>
      <w:r>
        <w:t>understand</w:t>
      </w:r>
      <w:r w:rsidR="00D16C5A">
        <w:t xml:space="preserve"> material in</w:t>
      </w:r>
      <w:r>
        <w:t xml:space="preserve"> this manual only and have no legal effect.</w:t>
      </w:r>
    </w:p>
    <w:p w:rsidR="0062037C" w:rsidRDefault="00423EA8" w:rsidP="004F33CC">
      <w:pPr>
        <w:pStyle w:val="BodyText"/>
      </w:pPr>
      <w:r w:rsidRPr="00FA6577">
        <w:rPr>
          <w:rStyle w:val="Bold"/>
        </w:rPr>
        <w:t xml:space="preserve">Bioretention Facility </w:t>
      </w:r>
      <w:r w:rsidRPr="00D16C5A">
        <w:t>–</w:t>
      </w:r>
      <w:r w:rsidR="00C81856" w:rsidRPr="00FA6577">
        <w:rPr>
          <w:rStyle w:val="Bold"/>
        </w:rPr>
        <w:t xml:space="preserve"> </w:t>
      </w:r>
      <w:r w:rsidRPr="00423EA8">
        <w:t xml:space="preserve">Bioretention </w:t>
      </w:r>
      <w:r>
        <w:t>facilities</w:t>
      </w:r>
      <w:r w:rsidRPr="00423EA8">
        <w:t>, or rain gardens, are landscaping features that are designed to capture and treat local stormwater runoff</w:t>
      </w:r>
      <w:r w:rsidR="0043213D">
        <w:t xml:space="preserve">. </w:t>
      </w:r>
      <w:r w:rsidRPr="00423EA8">
        <w:t xml:space="preserve">The </w:t>
      </w:r>
      <w:r>
        <w:t xml:space="preserve">typical </w:t>
      </w:r>
      <w:r w:rsidRPr="00423EA8">
        <w:t xml:space="preserve">components of a </w:t>
      </w:r>
      <w:r>
        <w:t>bioretention facility</w:t>
      </w:r>
      <w:r w:rsidRPr="00423EA8">
        <w:t xml:space="preserve"> include vegetation, </w:t>
      </w:r>
      <w:r>
        <w:t>a</w:t>
      </w:r>
      <w:r w:rsidRPr="00423EA8">
        <w:t xml:space="preserve"> mulch-layer, and</w:t>
      </w:r>
      <w:r>
        <w:t xml:space="preserve"> engineered</w:t>
      </w:r>
      <w:r w:rsidRPr="00423EA8">
        <w:t xml:space="preserve"> soil, all of which lie in a depression such that it can capture local stormwater runoff</w:t>
      </w:r>
      <w:r w:rsidR="0062037C">
        <w:t>.</w:t>
      </w:r>
    </w:p>
    <w:p w:rsidR="00E17BF3" w:rsidRPr="00FA6577" w:rsidRDefault="00E17BF3" w:rsidP="004F33CC">
      <w:pPr>
        <w:pStyle w:val="BodyText"/>
        <w:rPr>
          <w:rStyle w:val="Bold"/>
        </w:rPr>
      </w:pPr>
      <w:r w:rsidRPr="00FA6577">
        <w:rPr>
          <w:rStyle w:val="Bold"/>
        </w:rPr>
        <w:t>Cause of Impairment</w:t>
      </w:r>
      <w:r>
        <w:t xml:space="preserve"> – Where possible, states, tribes</w:t>
      </w:r>
      <w:r w:rsidR="00D16C5A">
        <w:t>,</w:t>
      </w:r>
      <w:r>
        <w:t xml:space="preserve"> and other jurisdictions identify the pollutants or stressors causing water quality impairment. </w:t>
      </w:r>
      <w:r w:rsidR="00D16C5A">
        <w:t xml:space="preserve">Such </w:t>
      </w:r>
      <w:r>
        <w:t xml:space="preserve">causes of impairment keep waters from meeting the </w:t>
      </w:r>
      <w:r w:rsidR="00D16C5A">
        <w:t xml:space="preserve">state-adopted </w:t>
      </w:r>
      <w:r>
        <w:t>water quality standards to protect designated uses. Causes of impairment include chemical contaminants (such as PCBs, metals, and oxygen-depleting substances), physical conditions (such as elevated temperature, excessive siltation, or alterations of habitat), and biological contaminants (such as bacteria and noxious aquatic weeds).</w:t>
      </w:r>
    </w:p>
    <w:p w:rsidR="00E17BF3" w:rsidRDefault="00E17BF3" w:rsidP="004F33CC">
      <w:pPr>
        <w:pStyle w:val="BodyText"/>
      </w:pPr>
      <w:r w:rsidRPr="00FA6577">
        <w:rPr>
          <w:rStyle w:val="Bold"/>
        </w:rPr>
        <w:t xml:space="preserve">Class A Waters </w:t>
      </w:r>
      <w:r>
        <w:t xml:space="preserve">– A Use Classification </w:t>
      </w:r>
      <w:r w:rsidR="00D16C5A">
        <w:t xml:space="preserve">that some states </w:t>
      </w:r>
      <w:r>
        <w:t>use in their water quality standards to designate high</w:t>
      </w:r>
      <w:r w:rsidR="00D16C5A">
        <w:t>-</w:t>
      </w:r>
      <w:r>
        <w:t>quality waters.</w:t>
      </w:r>
    </w:p>
    <w:p w:rsidR="00E17BF3" w:rsidRDefault="00E17BF3" w:rsidP="004F33CC">
      <w:pPr>
        <w:pStyle w:val="BodyText"/>
        <w:rPr>
          <w:szCs w:val="20"/>
        </w:rPr>
      </w:pPr>
      <w:r w:rsidRPr="00FA6577">
        <w:rPr>
          <w:rStyle w:val="Bold"/>
        </w:rPr>
        <w:t xml:space="preserve">Combined Sewer Overflow (CSO) </w:t>
      </w:r>
      <w:r>
        <w:rPr>
          <w:szCs w:val="20"/>
        </w:rPr>
        <w:t xml:space="preserve">– A discharge of untreated wastewater from a combined sewer system at a point </w:t>
      </w:r>
      <w:r w:rsidR="007B3819">
        <w:rPr>
          <w:szCs w:val="20"/>
        </w:rPr>
        <w:t>before</w:t>
      </w:r>
      <w:r>
        <w:rPr>
          <w:szCs w:val="20"/>
        </w:rPr>
        <w:t xml:space="preserve"> the headworks of a publicly owned treatment work</w:t>
      </w:r>
      <w:r w:rsidR="00D16C5A">
        <w:rPr>
          <w:szCs w:val="20"/>
        </w:rPr>
        <w:t>s</w:t>
      </w:r>
      <w:r>
        <w:rPr>
          <w:szCs w:val="20"/>
        </w:rPr>
        <w:t xml:space="preserve"> plant.</w:t>
      </w:r>
    </w:p>
    <w:p w:rsidR="007730CD" w:rsidRDefault="00E17BF3" w:rsidP="007730CD">
      <w:r w:rsidRPr="00FA6577">
        <w:rPr>
          <w:rStyle w:val="Bold"/>
        </w:rPr>
        <w:t>Combined Sewer System (CSS)</w:t>
      </w:r>
      <w:r>
        <w:rPr>
          <w:szCs w:val="20"/>
        </w:rPr>
        <w:t xml:space="preserve"> –</w:t>
      </w:r>
      <w:r w:rsidR="007730CD">
        <w:rPr>
          <w:szCs w:val="20"/>
        </w:rPr>
        <w:t xml:space="preserve"> </w:t>
      </w:r>
      <w:r w:rsidR="007730CD">
        <w:t xml:space="preserve">A combined sewer system (CSS) is a wastewater collection system owned by a State or municipality (as defined by section 502 (4) of the Clean Water Act) which conveys sanitary wastewaters (domestic, commercial and industrial wastewaters) and storm water through a single-pipe system to a Publicly Owned Treatment Works (POTW) Treatment Plant (as defined in 40 </w:t>
      </w:r>
      <w:smartTag w:uri="urn:schemas-microsoft-com:office:smarttags" w:element="stockticker">
        <w:r w:rsidR="007730CD">
          <w:t>CFR</w:t>
        </w:r>
      </w:smartTag>
      <w:r w:rsidR="007730CD">
        <w:t xml:space="preserve"> 403.3(p)).</w:t>
      </w:r>
    </w:p>
    <w:p w:rsidR="0062037C" w:rsidRDefault="00E17BF3" w:rsidP="004F33CC">
      <w:pPr>
        <w:pStyle w:val="BodyText"/>
        <w:rPr>
          <w:szCs w:val="20"/>
        </w:rPr>
      </w:pPr>
      <w:r w:rsidRPr="00FA6577">
        <w:rPr>
          <w:rStyle w:val="Bold"/>
        </w:rPr>
        <w:t xml:space="preserve">Combined Sewage </w:t>
      </w:r>
      <w:r>
        <w:rPr>
          <w:szCs w:val="20"/>
        </w:rPr>
        <w:t>– Wastewater and storm water carried in the same pipe by design</w:t>
      </w:r>
      <w:r w:rsidR="0062037C">
        <w:rPr>
          <w:szCs w:val="20"/>
        </w:rPr>
        <w:t>.</w:t>
      </w:r>
    </w:p>
    <w:p w:rsidR="00E17BF3" w:rsidRDefault="00E17BF3" w:rsidP="004F33CC">
      <w:pPr>
        <w:pStyle w:val="BodyText"/>
        <w:rPr>
          <w:bCs/>
          <w:szCs w:val="20"/>
        </w:rPr>
      </w:pPr>
      <w:r w:rsidRPr="00FA6577">
        <w:rPr>
          <w:rStyle w:val="Bold"/>
        </w:rPr>
        <w:t xml:space="preserve">Consumer Price Index (CPI) </w:t>
      </w:r>
      <w:r w:rsidR="00C81856">
        <w:rPr>
          <w:szCs w:val="20"/>
        </w:rPr>
        <w:t>–</w:t>
      </w:r>
      <w:r w:rsidRPr="00FA6577">
        <w:rPr>
          <w:rStyle w:val="Bold"/>
        </w:rPr>
        <w:t xml:space="preserve"> </w:t>
      </w:r>
      <w:r>
        <w:rPr>
          <w:bCs/>
          <w:szCs w:val="20"/>
        </w:rPr>
        <w:t>A</w:t>
      </w:r>
      <w:r>
        <w:rPr>
          <w:szCs w:val="20"/>
        </w:rPr>
        <w:t xml:space="preserve"> statistical time-series measure of a weighted average of prices of a specified set of goods and services purchased by consumers.</w:t>
      </w:r>
    </w:p>
    <w:p w:rsidR="00E17BF3" w:rsidRDefault="00E17BF3" w:rsidP="004F33CC">
      <w:pPr>
        <w:pStyle w:val="BodyText"/>
        <w:rPr>
          <w:szCs w:val="20"/>
        </w:rPr>
      </w:pPr>
      <w:r w:rsidRPr="00FA6577">
        <w:rPr>
          <w:rStyle w:val="Bold"/>
        </w:rPr>
        <w:t>CSO Control Policy</w:t>
      </w:r>
      <w:r>
        <w:rPr>
          <w:szCs w:val="20"/>
        </w:rPr>
        <w:t xml:space="preserve"> – EPA published the CSO Control Policy on April 19, 1994 (59 </w:t>
      </w:r>
      <w:r w:rsidRPr="004D23B9">
        <w:rPr>
          <w:rStyle w:val="italic"/>
        </w:rPr>
        <w:t>F</w:t>
      </w:r>
      <w:r w:rsidR="00D16C5A" w:rsidRPr="004D23B9">
        <w:rPr>
          <w:rStyle w:val="italic"/>
        </w:rPr>
        <w:t xml:space="preserve">ederal </w:t>
      </w:r>
      <w:r w:rsidRPr="004D23B9">
        <w:rPr>
          <w:rStyle w:val="italic"/>
        </w:rPr>
        <w:t>R</w:t>
      </w:r>
      <w:r w:rsidR="00D16C5A" w:rsidRPr="004D23B9">
        <w:rPr>
          <w:rStyle w:val="italic"/>
        </w:rPr>
        <w:t>egister</w:t>
      </w:r>
      <w:r>
        <w:rPr>
          <w:szCs w:val="20"/>
        </w:rPr>
        <w:t xml:space="preserve"> 18688). The </w:t>
      </w:r>
      <w:r w:rsidR="00D16C5A">
        <w:rPr>
          <w:szCs w:val="20"/>
        </w:rPr>
        <w:t>p</w:t>
      </w:r>
      <w:r>
        <w:rPr>
          <w:szCs w:val="20"/>
        </w:rPr>
        <w:t xml:space="preserve">olicy includes provisions for developing appropriate, site-specific </w:t>
      </w:r>
      <w:r w:rsidR="00D16C5A" w:rsidRPr="00D16C5A">
        <w:rPr>
          <w:szCs w:val="20"/>
        </w:rPr>
        <w:t>National Pollutant Discharge Elimination System</w:t>
      </w:r>
      <w:r>
        <w:rPr>
          <w:szCs w:val="20"/>
        </w:rPr>
        <w:t xml:space="preserve"> permit requirements for combined sewer systems that overflow as a result of wet</w:t>
      </w:r>
      <w:r w:rsidR="00D16C5A">
        <w:rPr>
          <w:szCs w:val="20"/>
        </w:rPr>
        <w:t>-</w:t>
      </w:r>
      <w:r>
        <w:rPr>
          <w:szCs w:val="20"/>
        </w:rPr>
        <w:t>weather events.</w:t>
      </w:r>
    </w:p>
    <w:p w:rsidR="00E17BF3" w:rsidRDefault="00E17BF3" w:rsidP="004F33CC">
      <w:pPr>
        <w:pStyle w:val="BodyText"/>
        <w:rPr>
          <w:szCs w:val="20"/>
        </w:rPr>
      </w:pPr>
      <w:r w:rsidRPr="00FA6577">
        <w:rPr>
          <w:rStyle w:val="Bold"/>
        </w:rPr>
        <w:t>Dissolved Oxygen (DO)</w:t>
      </w:r>
      <w:r>
        <w:rPr>
          <w:szCs w:val="20"/>
        </w:rPr>
        <w:t xml:space="preserve"> – The oxygen freely available in water, which is vital for sustaining fish and other aquatic life as well as for preventing odors. DO levels are considered one of the most important indicators of a waterbody’s ability to support desirable aquatic life. Secondary treatment and advanced waste treatment are generally designed to ensure adequate DO in the water that receives WWTP effluent.</w:t>
      </w:r>
    </w:p>
    <w:p w:rsidR="00E17BF3" w:rsidRDefault="007C1E0F" w:rsidP="004F33CC">
      <w:pPr>
        <w:pStyle w:val="BodyText"/>
        <w:rPr>
          <w:szCs w:val="20"/>
        </w:rPr>
      </w:pPr>
      <w:r w:rsidRPr="00FA6577">
        <w:rPr>
          <w:rStyle w:val="Bold"/>
        </w:rPr>
        <w:t>Dry-</w:t>
      </w:r>
      <w:r w:rsidR="00D16C5A" w:rsidRPr="00FA6577">
        <w:rPr>
          <w:rStyle w:val="Bold"/>
        </w:rPr>
        <w:t>W</w:t>
      </w:r>
      <w:r w:rsidRPr="00FA6577">
        <w:rPr>
          <w:rStyle w:val="Bold"/>
        </w:rPr>
        <w:t xml:space="preserve">eather </w:t>
      </w:r>
      <w:r w:rsidR="00D16C5A" w:rsidRPr="00FA6577">
        <w:rPr>
          <w:rStyle w:val="Bold"/>
        </w:rPr>
        <w:t>F</w:t>
      </w:r>
      <w:r w:rsidRPr="00FA6577">
        <w:rPr>
          <w:rStyle w:val="Bold"/>
        </w:rPr>
        <w:t>low</w:t>
      </w:r>
      <w:r w:rsidR="00E17BF3" w:rsidRPr="00FA6577">
        <w:rPr>
          <w:rStyle w:val="Bold"/>
        </w:rPr>
        <w:t xml:space="preserve"> Conditions </w:t>
      </w:r>
      <w:r w:rsidR="00E17BF3">
        <w:rPr>
          <w:szCs w:val="20"/>
        </w:rPr>
        <w:t>– Hydraulic flow conditions in the combined sewer system resulting from one or more of the following: flows of domestic sewage; groundwater infiltration; and commercial and industrial wastewaters.</w:t>
      </w:r>
    </w:p>
    <w:p w:rsidR="00E17BF3" w:rsidRDefault="00E17BF3" w:rsidP="004F33CC">
      <w:pPr>
        <w:pStyle w:val="BodyText"/>
        <w:rPr>
          <w:szCs w:val="20"/>
        </w:rPr>
      </w:pPr>
      <w:r w:rsidRPr="00FA6577">
        <w:rPr>
          <w:rStyle w:val="Bold"/>
        </w:rPr>
        <w:t>Dry</w:t>
      </w:r>
      <w:r w:rsidR="00D16C5A" w:rsidRPr="00FA6577">
        <w:rPr>
          <w:rStyle w:val="Bold"/>
        </w:rPr>
        <w:t>-</w:t>
      </w:r>
      <w:r w:rsidRPr="00FA6577">
        <w:rPr>
          <w:rStyle w:val="Bold"/>
        </w:rPr>
        <w:t>Weather CSO</w:t>
      </w:r>
      <w:r>
        <w:rPr>
          <w:szCs w:val="20"/>
        </w:rPr>
        <w:t xml:space="preserve"> – An unauthorized discharge from a combined sewer system that occurs during dry</w:t>
      </w:r>
      <w:r w:rsidR="00AA54BE">
        <w:rPr>
          <w:szCs w:val="20"/>
        </w:rPr>
        <w:t>-</w:t>
      </w:r>
      <w:r>
        <w:rPr>
          <w:szCs w:val="20"/>
        </w:rPr>
        <w:t>weather conditions.</w:t>
      </w:r>
    </w:p>
    <w:p w:rsidR="00E17BF3" w:rsidRPr="00FA6577" w:rsidRDefault="00E17BF3" w:rsidP="004F33CC">
      <w:pPr>
        <w:pStyle w:val="BodyText"/>
        <w:rPr>
          <w:rStyle w:val="Bold"/>
        </w:rPr>
      </w:pPr>
      <w:r w:rsidRPr="00FA6577">
        <w:rPr>
          <w:rStyle w:val="Bold"/>
        </w:rPr>
        <w:t xml:space="preserve">First Flush </w:t>
      </w:r>
      <w:r>
        <w:rPr>
          <w:szCs w:val="20"/>
        </w:rPr>
        <w:t xml:space="preserve">– The occurrence of higher concentrations of pollutants in stormwater or </w:t>
      </w:r>
      <w:r w:rsidR="00D63371">
        <w:rPr>
          <w:szCs w:val="20"/>
        </w:rPr>
        <w:t>combined sewer overflow</w:t>
      </w:r>
      <w:r>
        <w:rPr>
          <w:szCs w:val="20"/>
        </w:rPr>
        <w:t xml:space="preserve"> discharges at the beginning of a storm.</w:t>
      </w:r>
    </w:p>
    <w:p w:rsidR="00E17BF3" w:rsidRDefault="00E17BF3" w:rsidP="004F33CC">
      <w:pPr>
        <w:pStyle w:val="BodyText"/>
        <w:rPr>
          <w:szCs w:val="20"/>
        </w:rPr>
      </w:pPr>
      <w:r w:rsidRPr="00FA6577">
        <w:rPr>
          <w:rStyle w:val="Bold"/>
        </w:rPr>
        <w:t>Floatables and Trash</w:t>
      </w:r>
      <w:r>
        <w:rPr>
          <w:szCs w:val="20"/>
        </w:rPr>
        <w:t xml:space="preserve"> – Visible buoyant or semi-buoyant solids including organic matter, personal hygiene items, plastics, styrofoam, paper, rubber, glass and wood.</w:t>
      </w:r>
    </w:p>
    <w:p w:rsidR="0062037C" w:rsidRDefault="00F907A6" w:rsidP="004F33CC">
      <w:pPr>
        <w:pStyle w:val="BodyText"/>
        <w:rPr>
          <w:szCs w:val="20"/>
        </w:rPr>
      </w:pPr>
      <w:r w:rsidRPr="00FA6577">
        <w:rPr>
          <w:rStyle w:val="Bold"/>
        </w:rPr>
        <w:t xml:space="preserve">Green Infrastructure </w:t>
      </w:r>
      <w:r w:rsidRPr="00D16C5A">
        <w:rPr>
          <w:bCs/>
          <w:szCs w:val="20"/>
        </w:rPr>
        <w:t>–</w:t>
      </w:r>
      <w:r w:rsidR="00AA54BE">
        <w:rPr>
          <w:szCs w:val="20"/>
        </w:rPr>
        <w:t xml:space="preserve"> </w:t>
      </w:r>
      <w:r>
        <w:rPr>
          <w:szCs w:val="20"/>
        </w:rPr>
        <w:t xml:space="preserve">stormwater management techniques </w:t>
      </w:r>
      <w:r w:rsidRPr="00D807A9">
        <w:rPr>
          <w:szCs w:val="20"/>
        </w:rPr>
        <w:t xml:space="preserve">that use or mimic natural processes to infiltrate, evapotranspire, or </w:t>
      </w:r>
      <w:r>
        <w:rPr>
          <w:szCs w:val="20"/>
        </w:rPr>
        <w:t>store s</w:t>
      </w:r>
      <w:r w:rsidRPr="00D807A9">
        <w:rPr>
          <w:szCs w:val="20"/>
        </w:rPr>
        <w:t>tormwater or runoff on or near the site where it is generated</w:t>
      </w:r>
      <w:r w:rsidR="0062037C">
        <w:rPr>
          <w:szCs w:val="20"/>
        </w:rPr>
        <w:t>.</w:t>
      </w:r>
    </w:p>
    <w:p w:rsidR="00097A6D" w:rsidRPr="00097A6D" w:rsidRDefault="00097A6D" w:rsidP="004F33CC">
      <w:pPr>
        <w:pStyle w:val="BodyText"/>
        <w:rPr>
          <w:bCs/>
          <w:szCs w:val="20"/>
        </w:rPr>
      </w:pPr>
      <w:r w:rsidRPr="00FA6577">
        <w:rPr>
          <w:rStyle w:val="Bold"/>
        </w:rPr>
        <w:t xml:space="preserve">Green Roofs </w:t>
      </w:r>
      <w:r w:rsidRPr="00D16C5A">
        <w:rPr>
          <w:bCs/>
          <w:szCs w:val="20"/>
        </w:rPr>
        <w:t>–</w:t>
      </w:r>
      <w:r w:rsidRPr="00FA6577">
        <w:rPr>
          <w:rStyle w:val="Bold"/>
        </w:rPr>
        <w:t xml:space="preserve"> </w:t>
      </w:r>
      <w:r w:rsidR="00812D3C">
        <w:rPr>
          <w:bCs/>
          <w:szCs w:val="20"/>
        </w:rPr>
        <w:t>V</w:t>
      </w:r>
      <w:r w:rsidRPr="00097A6D">
        <w:rPr>
          <w:bCs/>
          <w:szCs w:val="20"/>
        </w:rPr>
        <w:t>egetated roofing systems that can be installed or retrofitted on commercial, industrial, and residential buildings of all sizes</w:t>
      </w:r>
      <w:r w:rsidR="0043213D">
        <w:rPr>
          <w:bCs/>
          <w:szCs w:val="20"/>
        </w:rPr>
        <w:t xml:space="preserve">. </w:t>
      </w:r>
      <w:r w:rsidRPr="00097A6D">
        <w:rPr>
          <w:bCs/>
          <w:szCs w:val="20"/>
        </w:rPr>
        <w:t>They typically consist of a waterproofing layer, a drainage layer, a root barrier, a water retention layer, and a growth medium layer</w:t>
      </w:r>
      <w:r w:rsidR="0043213D">
        <w:rPr>
          <w:bCs/>
          <w:szCs w:val="20"/>
        </w:rPr>
        <w:t xml:space="preserve">. </w:t>
      </w:r>
      <w:r w:rsidRPr="00097A6D">
        <w:rPr>
          <w:bCs/>
          <w:szCs w:val="20"/>
        </w:rPr>
        <w:t xml:space="preserve">Green roofs help </w:t>
      </w:r>
      <w:r w:rsidR="00423EA8">
        <w:rPr>
          <w:bCs/>
          <w:szCs w:val="20"/>
        </w:rPr>
        <w:t>manage</w:t>
      </w:r>
      <w:r w:rsidRPr="00097A6D">
        <w:rPr>
          <w:bCs/>
          <w:szCs w:val="20"/>
        </w:rPr>
        <w:t xml:space="preserve"> stormwater by providing detention storage of incident rainfall and facilitating evapotranspiration of the detained water.</w:t>
      </w:r>
    </w:p>
    <w:p w:rsidR="00E17BF3" w:rsidRDefault="00E17BF3" w:rsidP="004F33CC">
      <w:pPr>
        <w:pStyle w:val="BodyText"/>
        <w:rPr>
          <w:szCs w:val="20"/>
        </w:rPr>
      </w:pPr>
      <w:r w:rsidRPr="00FA6577">
        <w:rPr>
          <w:rStyle w:val="Bold"/>
        </w:rPr>
        <w:t xml:space="preserve">Headworks of a Wastewater Treatment Plant </w:t>
      </w:r>
      <w:r>
        <w:rPr>
          <w:szCs w:val="20"/>
        </w:rPr>
        <w:t>– The initial structures, devices, and processes receiving flows from the sewer system at a wastewater treatment plant, including screening, pumping, measuring, and grit</w:t>
      </w:r>
      <w:r w:rsidR="00812D3C">
        <w:rPr>
          <w:szCs w:val="20"/>
        </w:rPr>
        <w:t>-</w:t>
      </w:r>
      <w:r>
        <w:rPr>
          <w:szCs w:val="20"/>
        </w:rPr>
        <w:t>removal facilities.</w:t>
      </w:r>
    </w:p>
    <w:p w:rsidR="00E17BF3" w:rsidRDefault="00E17BF3" w:rsidP="004F33CC">
      <w:pPr>
        <w:pStyle w:val="BodyText"/>
        <w:rPr>
          <w:bCs/>
          <w:szCs w:val="20"/>
        </w:rPr>
      </w:pPr>
      <w:r w:rsidRPr="00FA6577">
        <w:rPr>
          <w:rStyle w:val="Bold"/>
        </w:rPr>
        <w:t xml:space="preserve">Hyetograph </w:t>
      </w:r>
      <w:r w:rsidRPr="00D16C5A">
        <w:rPr>
          <w:bCs/>
          <w:szCs w:val="20"/>
        </w:rPr>
        <w:t>–</w:t>
      </w:r>
      <w:r w:rsidRPr="00FA6577">
        <w:rPr>
          <w:rStyle w:val="Bold"/>
        </w:rPr>
        <w:t xml:space="preserve"> </w:t>
      </w:r>
      <w:r>
        <w:rPr>
          <w:bCs/>
          <w:szCs w:val="20"/>
        </w:rPr>
        <w:t>A graphical representation of the distribution of rainfall over time.</w:t>
      </w:r>
    </w:p>
    <w:p w:rsidR="0062037C" w:rsidRDefault="00E17BF3" w:rsidP="004F33CC">
      <w:pPr>
        <w:pStyle w:val="BodyText"/>
        <w:rPr>
          <w:bCs/>
          <w:szCs w:val="20"/>
        </w:rPr>
      </w:pPr>
      <w:r w:rsidRPr="00FA6577">
        <w:rPr>
          <w:rStyle w:val="Bold"/>
        </w:rPr>
        <w:t xml:space="preserve">Imperviousness </w:t>
      </w:r>
      <w:r>
        <w:rPr>
          <w:szCs w:val="20"/>
        </w:rPr>
        <w:t>–</w:t>
      </w:r>
      <w:r w:rsidRPr="00FA6577">
        <w:rPr>
          <w:rStyle w:val="Bold"/>
        </w:rPr>
        <w:t xml:space="preserve"> </w:t>
      </w:r>
      <w:r>
        <w:rPr>
          <w:bCs/>
          <w:szCs w:val="20"/>
        </w:rPr>
        <w:t>The fraction (%) of a sub-sewershed that is covered by non-infiltrating surfaces such as concrete, asphalt, and buildings</w:t>
      </w:r>
      <w:r w:rsidR="0062037C">
        <w:rPr>
          <w:bCs/>
          <w:szCs w:val="20"/>
        </w:rPr>
        <w:t>.</w:t>
      </w:r>
    </w:p>
    <w:p w:rsidR="00E17BF3" w:rsidRDefault="00E17BF3" w:rsidP="004F33CC">
      <w:pPr>
        <w:pStyle w:val="BodyText"/>
        <w:rPr>
          <w:szCs w:val="20"/>
        </w:rPr>
      </w:pPr>
      <w:r w:rsidRPr="00FA6577">
        <w:rPr>
          <w:rStyle w:val="Bold"/>
        </w:rPr>
        <w:t>Infiltration</w:t>
      </w:r>
      <w:r>
        <w:rPr>
          <w:szCs w:val="20"/>
        </w:rPr>
        <w:t xml:space="preserve"> – Stormwater and groundwater that enter a sewer system through such means as defective pipes, pipe joints, connections, or manholes. (Infiltration does not include inflow.)</w:t>
      </w:r>
    </w:p>
    <w:p w:rsidR="00E17BF3" w:rsidRDefault="00E17BF3" w:rsidP="004F33CC">
      <w:pPr>
        <w:pStyle w:val="BodyText"/>
        <w:rPr>
          <w:szCs w:val="20"/>
        </w:rPr>
      </w:pPr>
      <w:r w:rsidRPr="00FA6577">
        <w:rPr>
          <w:rStyle w:val="Bold"/>
        </w:rPr>
        <w:t>Infiltration/Inflow (I/I)</w:t>
      </w:r>
      <w:r>
        <w:rPr>
          <w:szCs w:val="20"/>
        </w:rPr>
        <w:t xml:space="preserve"> – The total quantity of water from both infiltration and inflow.</w:t>
      </w:r>
    </w:p>
    <w:p w:rsidR="00E17BF3" w:rsidRDefault="00E17BF3" w:rsidP="004F33CC">
      <w:pPr>
        <w:pStyle w:val="BodyText"/>
        <w:rPr>
          <w:szCs w:val="20"/>
        </w:rPr>
      </w:pPr>
      <w:r w:rsidRPr="00FA6577">
        <w:rPr>
          <w:rStyle w:val="Bold"/>
        </w:rPr>
        <w:t>Inflow</w:t>
      </w:r>
      <w:r>
        <w:rPr>
          <w:szCs w:val="20"/>
        </w:rPr>
        <w:t xml:space="preserve"> – Water, other than wastewater, that enters a sewer system from sources such as roof leaders, cellar drains, yard drains, area drains, foundation drains, drains from springs and swampy areas, manhole covers, cross connections between storm drains and sanitary sewers, catch basins, cooling towers, stormwater, surface runoff, street wash waters, or other drainage. (Inflow does not include infiltration).</w:t>
      </w:r>
    </w:p>
    <w:p w:rsidR="0062037C" w:rsidRDefault="00E17BF3" w:rsidP="004F33CC">
      <w:pPr>
        <w:pStyle w:val="BodyText"/>
        <w:rPr>
          <w:szCs w:val="20"/>
        </w:rPr>
      </w:pPr>
      <w:r w:rsidRPr="00FA6577">
        <w:rPr>
          <w:rStyle w:val="Bold"/>
        </w:rPr>
        <w:t xml:space="preserve">Interceptor Sewers </w:t>
      </w:r>
      <w:r>
        <w:rPr>
          <w:szCs w:val="20"/>
        </w:rPr>
        <w:t xml:space="preserve">– A sewer without building sewer connections </w:t>
      </w:r>
      <w:r w:rsidR="00812D3C">
        <w:rPr>
          <w:szCs w:val="20"/>
        </w:rPr>
        <w:t xml:space="preserve">that </w:t>
      </w:r>
      <w:r>
        <w:rPr>
          <w:szCs w:val="20"/>
        </w:rPr>
        <w:t>is used to collect and carry flows from main and trunk sewers to a central point for treatment and discharge</w:t>
      </w:r>
      <w:r w:rsidR="0062037C">
        <w:rPr>
          <w:szCs w:val="20"/>
        </w:rPr>
        <w:t>.</w:t>
      </w:r>
    </w:p>
    <w:p w:rsidR="00E17BF3" w:rsidRDefault="00E17BF3" w:rsidP="004F33CC">
      <w:pPr>
        <w:pStyle w:val="BodyText"/>
      </w:pPr>
      <w:r w:rsidRPr="00FA6577">
        <w:rPr>
          <w:rStyle w:val="Bold"/>
        </w:rPr>
        <w:t>Long-Term Control Plan (LTCP)</w:t>
      </w:r>
      <w:r>
        <w:t xml:space="preserve"> – </w:t>
      </w:r>
      <w:r>
        <w:rPr>
          <w:bCs/>
        </w:rPr>
        <w:t>A</w:t>
      </w:r>
      <w:r w:rsidRPr="00FA6577">
        <w:rPr>
          <w:rStyle w:val="Bold"/>
        </w:rPr>
        <w:t xml:space="preserve"> </w:t>
      </w:r>
      <w:r>
        <w:t xml:space="preserve">water quality-based </w:t>
      </w:r>
      <w:r w:rsidR="00D63371">
        <w:t>combined sewer overflow</w:t>
      </w:r>
      <w:r>
        <w:t xml:space="preserve"> control plan that is ultimately intended to result in compliance with the Clean Water Act. As described in the 1994 CSO Control Policy, </w:t>
      </w:r>
      <w:r w:rsidR="00812D3C">
        <w:t>LTCP</w:t>
      </w:r>
      <w:r>
        <w:t xml:space="preserve">s should consider the site-specific nature of </w:t>
      </w:r>
      <w:r w:rsidR="00D63371">
        <w:t>combined sewer overflow</w:t>
      </w:r>
      <w:r>
        <w:t>s and evaluate the cost effectiveness of a range of controls.</w:t>
      </w:r>
    </w:p>
    <w:p w:rsidR="0062037C" w:rsidRDefault="00E17BF3" w:rsidP="004F33CC">
      <w:pPr>
        <w:pStyle w:val="BodyText"/>
      </w:pPr>
      <w:r w:rsidRPr="00FA6577">
        <w:rPr>
          <w:rStyle w:val="Bold"/>
        </w:rPr>
        <w:t xml:space="preserve">Median Household Income (MHI) </w:t>
      </w:r>
      <w:r w:rsidR="00D75390">
        <w:t>–</w:t>
      </w:r>
      <w:r w:rsidR="00812D3C">
        <w:t>T</w:t>
      </w:r>
      <w:r>
        <w:t>he median amount of total income dollars received per household during a calendar year in a geographical area</w:t>
      </w:r>
      <w:r w:rsidR="0062037C">
        <w:t>.</w:t>
      </w:r>
    </w:p>
    <w:p w:rsidR="005D43DB" w:rsidRDefault="00E17BF3" w:rsidP="005D43DB">
      <w:pPr>
        <w:pStyle w:val="BodyText"/>
        <w:rPr>
          <w:rStyle w:val="Bold"/>
        </w:rPr>
      </w:pPr>
      <w:r w:rsidRPr="00FA6577">
        <w:rPr>
          <w:rStyle w:val="Bold"/>
        </w:rPr>
        <w:t>Million Gallons per Day (MGD)</w:t>
      </w:r>
      <w:r>
        <w:t xml:space="preserve"> – A rate of flow commonly used for wastewater discharges. One MGD is equivalent to a flow rate of 1.547 cubic feet per second over a 24-hour period.</w:t>
      </w:r>
    </w:p>
    <w:p w:rsidR="007730CD" w:rsidRDefault="00E17BF3" w:rsidP="005D43DB">
      <w:pPr>
        <w:pStyle w:val="BodyText"/>
      </w:pPr>
      <w:r w:rsidRPr="00FA6577">
        <w:rPr>
          <w:rStyle w:val="Bold"/>
        </w:rPr>
        <w:t>National Pollutant Discharge Elimination System (NPDES)</w:t>
      </w:r>
      <w:r>
        <w:t xml:space="preserve"> –</w:t>
      </w:r>
      <w:r w:rsidR="00D1460D">
        <w:t xml:space="preserve"> </w:t>
      </w:r>
      <w:r w:rsidR="00D75390">
        <w:t xml:space="preserve"> </w:t>
      </w:r>
      <w:r w:rsidR="007730CD" w:rsidRPr="00477B81">
        <w:t xml:space="preserve">The national program for issuing, modifying, revoking and </w:t>
      </w:r>
      <w:r w:rsidR="007730CD">
        <w:t>reissuing, terminating, monitoring and enforcing permits, and imposing and enforcing pretreatment requirements, under Sections 307, 318, 402 and 405 of the Clean Water Act.</w:t>
      </w:r>
    </w:p>
    <w:p w:rsidR="00E17BF3" w:rsidRDefault="00E17BF3" w:rsidP="004F33CC">
      <w:pPr>
        <w:pStyle w:val="BodyText"/>
      </w:pPr>
      <w:r w:rsidRPr="00FA6577">
        <w:rPr>
          <w:rStyle w:val="Bold"/>
        </w:rPr>
        <w:t>Nine Minimum Controls (NMC)</w:t>
      </w:r>
      <w:r>
        <w:t xml:space="preserve"> –</w:t>
      </w:r>
      <w:r w:rsidR="00D75390">
        <w:t xml:space="preserve"> </w:t>
      </w:r>
      <w:r>
        <w:rPr>
          <w:bCs/>
        </w:rPr>
        <w:t>The minimum t</w:t>
      </w:r>
      <w:r>
        <w:t xml:space="preserve">echnology-based </w:t>
      </w:r>
      <w:r w:rsidR="00D63371">
        <w:t>combined sewer overflow</w:t>
      </w:r>
      <w:r>
        <w:t xml:space="preserve"> controls </w:t>
      </w:r>
      <w:r w:rsidR="00D1460D">
        <w:t>designed</w:t>
      </w:r>
      <w:r>
        <w:t xml:space="preserve"> to address </w:t>
      </w:r>
      <w:r w:rsidR="00D63371">
        <w:t>combined sewer overflow</w:t>
      </w:r>
      <w:r>
        <w:t xml:space="preserve"> problems without extensive engineering studies or significant construction costs </w:t>
      </w:r>
      <w:r w:rsidR="007B3819">
        <w:t>before</w:t>
      </w:r>
      <w:r>
        <w:t xml:space="preserve"> implement</w:t>
      </w:r>
      <w:r w:rsidR="00D63371">
        <w:t>ing</w:t>
      </w:r>
      <w:r>
        <w:t xml:space="preserve"> long-term control measures. Municipalities were expected to implement the NMC and submit appropriate documentation to NPDES permitting authorities no later than January 1, 1997.</w:t>
      </w:r>
    </w:p>
    <w:p w:rsidR="00097A6D" w:rsidRPr="00097A6D" w:rsidRDefault="00097A6D" w:rsidP="004F33CC">
      <w:pPr>
        <w:pStyle w:val="BodyText"/>
        <w:rPr>
          <w:bCs/>
        </w:rPr>
      </w:pPr>
      <w:r w:rsidRPr="00FA6577">
        <w:rPr>
          <w:rStyle w:val="Bold"/>
        </w:rPr>
        <w:t xml:space="preserve">Permeable Pavement </w:t>
      </w:r>
      <w:r w:rsidR="00D75390">
        <w:t>–</w:t>
      </w:r>
      <w:r w:rsidRPr="00FA6577">
        <w:rPr>
          <w:rStyle w:val="Bold"/>
        </w:rPr>
        <w:t xml:space="preserve"> </w:t>
      </w:r>
      <w:r w:rsidR="00D63371">
        <w:rPr>
          <w:bCs/>
        </w:rPr>
        <w:t>A</w:t>
      </w:r>
      <w:r w:rsidRPr="00097A6D">
        <w:rPr>
          <w:bCs/>
        </w:rPr>
        <w:t xml:space="preserve">n alternative to </w:t>
      </w:r>
      <w:r w:rsidR="00D1460D">
        <w:rPr>
          <w:bCs/>
        </w:rPr>
        <w:t>conventional</w:t>
      </w:r>
      <w:r w:rsidR="00D1460D" w:rsidRPr="00097A6D">
        <w:rPr>
          <w:bCs/>
        </w:rPr>
        <w:t xml:space="preserve"> </w:t>
      </w:r>
      <w:r w:rsidRPr="00097A6D">
        <w:rPr>
          <w:bCs/>
        </w:rPr>
        <w:t xml:space="preserve">asphalt and concrete surfaces </w:t>
      </w:r>
      <w:r>
        <w:rPr>
          <w:bCs/>
        </w:rPr>
        <w:t>used mostly in</w:t>
      </w:r>
      <w:r w:rsidRPr="00097A6D">
        <w:rPr>
          <w:bCs/>
        </w:rPr>
        <w:t xml:space="preserve"> non-street construction such as parking lots, sidewalks, and alleyways</w:t>
      </w:r>
      <w:r w:rsidR="0043213D">
        <w:rPr>
          <w:bCs/>
        </w:rPr>
        <w:t>.</w:t>
      </w:r>
      <w:r w:rsidR="00D75390">
        <w:rPr>
          <w:bCs/>
        </w:rPr>
        <w:t xml:space="preserve"> </w:t>
      </w:r>
      <w:r>
        <w:rPr>
          <w:bCs/>
        </w:rPr>
        <w:t>Permeable</w:t>
      </w:r>
      <w:r w:rsidRPr="00097A6D">
        <w:rPr>
          <w:bCs/>
        </w:rPr>
        <w:t xml:space="preserve"> pavement </w:t>
      </w:r>
      <w:r w:rsidR="007B3819">
        <w:rPr>
          <w:bCs/>
        </w:rPr>
        <w:t>us</w:t>
      </w:r>
      <w:r>
        <w:rPr>
          <w:bCs/>
        </w:rPr>
        <w:t>es</w:t>
      </w:r>
      <w:r w:rsidRPr="00097A6D">
        <w:rPr>
          <w:bCs/>
        </w:rPr>
        <w:t xml:space="preserve"> various types of </w:t>
      </w:r>
      <w:r>
        <w:rPr>
          <w:bCs/>
        </w:rPr>
        <w:t>materials</w:t>
      </w:r>
      <w:r w:rsidRPr="00097A6D">
        <w:rPr>
          <w:bCs/>
        </w:rPr>
        <w:t xml:space="preserve">, including </w:t>
      </w:r>
      <w:r>
        <w:rPr>
          <w:bCs/>
        </w:rPr>
        <w:t>permeable</w:t>
      </w:r>
      <w:r w:rsidRPr="00097A6D">
        <w:rPr>
          <w:bCs/>
        </w:rPr>
        <w:t xml:space="preserve"> asphalt and concrete, and permeable or grass pavers</w:t>
      </w:r>
      <w:r w:rsidR="0043213D">
        <w:rPr>
          <w:bCs/>
        </w:rPr>
        <w:t xml:space="preserve">. </w:t>
      </w:r>
      <w:r w:rsidR="00423EA8">
        <w:rPr>
          <w:bCs/>
        </w:rPr>
        <w:t>Permeable</w:t>
      </w:r>
      <w:r w:rsidRPr="00097A6D">
        <w:rPr>
          <w:bCs/>
        </w:rPr>
        <w:t xml:space="preserve"> pavement helps </w:t>
      </w:r>
      <w:r w:rsidR="00423EA8">
        <w:rPr>
          <w:bCs/>
        </w:rPr>
        <w:t>manage</w:t>
      </w:r>
      <w:r w:rsidRPr="00097A6D">
        <w:rPr>
          <w:bCs/>
        </w:rPr>
        <w:t xml:space="preserve"> stormwater by providing </w:t>
      </w:r>
      <w:r w:rsidR="00423EA8">
        <w:rPr>
          <w:bCs/>
        </w:rPr>
        <w:t>r</w:t>
      </w:r>
      <w:r w:rsidRPr="00097A6D">
        <w:rPr>
          <w:bCs/>
        </w:rPr>
        <w:t>etention storage of surface runoff and allowing infiltration into underlying soil.</w:t>
      </w:r>
    </w:p>
    <w:p w:rsidR="00E17BF3" w:rsidRDefault="00E17BF3" w:rsidP="004F33CC">
      <w:pPr>
        <w:pStyle w:val="BodyText"/>
        <w:rPr>
          <w:bCs/>
        </w:rPr>
      </w:pPr>
      <w:r w:rsidRPr="00FA6577">
        <w:rPr>
          <w:rStyle w:val="Bold"/>
        </w:rPr>
        <w:t xml:space="preserve">Permittee </w:t>
      </w:r>
      <w:r>
        <w:rPr>
          <w:bCs/>
        </w:rPr>
        <w:t xml:space="preserve">– An entity that holds a </w:t>
      </w:r>
      <w:r w:rsidR="00D63371" w:rsidRPr="00D63371">
        <w:rPr>
          <w:bCs/>
        </w:rPr>
        <w:t>National Pollutant Discharge Elimination System</w:t>
      </w:r>
      <w:r>
        <w:rPr>
          <w:bCs/>
        </w:rPr>
        <w:t xml:space="preserve"> permit</w:t>
      </w:r>
      <w:r w:rsidR="0043213D">
        <w:rPr>
          <w:bCs/>
        </w:rPr>
        <w:t xml:space="preserve">. </w:t>
      </w:r>
      <w:r>
        <w:rPr>
          <w:bCs/>
        </w:rPr>
        <w:t xml:space="preserve">In the case of </w:t>
      </w:r>
      <w:r w:rsidR="005939DE">
        <w:rPr>
          <w:bCs/>
        </w:rPr>
        <w:t xml:space="preserve">Green </w:t>
      </w:r>
      <w:r>
        <w:rPr>
          <w:bCs/>
        </w:rPr>
        <w:t xml:space="preserve">LTCP-EZ, the term should be </w:t>
      </w:r>
      <w:r>
        <w:t xml:space="preserve">interpreted to include any users of the </w:t>
      </w:r>
      <w:r w:rsidR="005939DE">
        <w:t xml:space="preserve">Green </w:t>
      </w:r>
      <w:r>
        <w:t>LTCP-EZ Template.</w:t>
      </w:r>
    </w:p>
    <w:p w:rsidR="00E17BF3" w:rsidRPr="00FA6577" w:rsidRDefault="00E17BF3" w:rsidP="004F33CC">
      <w:pPr>
        <w:pStyle w:val="BodyText"/>
        <w:rPr>
          <w:rStyle w:val="Bold"/>
        </w:rPr>
      </w:pPr>
      <w:r w:rsidRPr="00FA6577">
        <w:rPr>
          <w:rStyle w:val="Bold"/>
        </w:rPr>
        <w:t xml:space="preserve">Permitting Authority </w:t>
      </w:r>
      <w:r w:rsidRPr="00D16C5A">
        <w:rPr>
          <w:bCs/>
        </w:rPr>
        <w:t>–</w:t>
      </w:r>
      <w:r w:rsidRPr="00FA6577">
        <w:rPr>
          <w:rStyle w:val="Bold"/>
        </w:rPr>
        <w:t xml:space="preserve"> </w:t>
      </w:r>
      <w:r>
        <w:rPr>
          <w:bCs/>
        </w:rPr>
        <w:t>The agency (</w:t>
      </w:r>
      <w:r w:rsidR="00A21640">
        <w:rPr>
          <w:bCs/>
        </w:rPr>
        <w:t xml:space="preserve">EPA or the </w:t>
      </w:r>
      <w:r>
        <w:rPr>
          <w:bCs/>
        </w:rPr>
        <w:t>state or Indian tribe) that administers the National Pollutant Discharge Elimination System permit program.</w:t>
      </w:r>
    </w:p>
    <w:p w:rsidR="00E17BF3" w:rsidRDefault="00E17BF3" w:rsidP="004F33CC">
      <w:pPr>
        <w:pStyle w:val="BodyText"/>
      </w:pPr>
      <w:r w:rsidRPr="00FA6577">
        <w:rPr>
          <w:rStyle w:val="Bold"/>
        </w:rPr>
        <w:t xml:space="preserve">Primary Treatment </w:t>
      </w:r>
      <w:r>
        <w:t xml:space="preserve">– </w:t>
      </w:r>
      <w:r w:rsidR="00D63371">
        <w:t>The f</w:t>
      </w:r>
      <w:r>
        <w:t xml:space="preserve">irst steps in wastewater treatment </w:t>
      </w:r>
      <w:r w:rsidR="00D63371">
        <w:t xml:space="preserve">in which </w:t>
      </w:r>
      <w:r>
        <w:t xml:space="preserve">screens and sedimentation tanks are used to remove most materials that float or will settle. </w:t>
      </w:r>
      <w:r w:rsidR="00D63371">
        <w:t>Clean Water Act s</w:t>
      </w:r>
      <w:r>
        <w:t xml:space="preserve">ection 301(h), which addresses waivers from secondary treatment for discharges into marine waters, defines primary or equivalent treatment as that adequate to remove 30 percent of </w:t>
      </w:r>
      <w:r w:rsidR="00D63371">
        <w:t>biochemical oxygen demand</w:t>
      </w:r>
      <w:r>
        <w:t xml:space="preserve"> and 30 percent of suspended solids.</w:t>
      </w:r>
    </w:p>
    <w:p w:rsidR="00E17BF3" w:rsidRDefault="00E17BF3" w:rsidP="004F33CC">
      <w:pPr>
        <w:pStyle w:val="BodyText"/>
      </w:pPr>
      <w:r w:rsidRPr="00FA6577">
        <w:rPr>
          <w:rStyle w:val="Bold"/>
        </w:rPr>
        <w:t xml:space="preserve">Publicly Owned Treatment Works (POTW) </w:t>
      </w:r>
      <w:r>
        <w:t xml:space="preserve">– As defined by </w:t>
      </w:r>
      <w:r w:rsidR="00D63371">
        <w:t>s</w:t>
      </w:r>
      <w:r>
        <w:t>ection 212 of the Clean Water Act, a POTW is a treatment works that is owned by a state or municipality. This definition includes any devices and systems used in the storage, treatment, recycling, and reclamation of municipal sewage or industrial wastes of a liquid nature. It also includes sewers, pipes, and other conveyances only if they convey wastewater to a POTW plant.</w:t>
      </w:r>
    </w:p>
    <w:p w:rsidR="00E17BF3" w:rsidRDefault="00E17BF3" w:rsidP="004F33CC">
      <w:pPr>
        <w:pStyle w:val="BodyText"/>
      </w:pPr>
      <w:r w:rsidRPr="00FA6577">
        <w:rPr>
          <w:rStyle w:val="Bold"/>
        </w:rPr>
        <w:t xml:space="preserve">Rational Method </w:t>
      </w:r>
      <w:r>
        <w:t xml:space="preserve">– </w:t>
      </w:r>
      <w:r>
        <w:rPr>
          <w:bCs/>
        </w:rPr>
        <w:t xml:space="preserve">A simple approach for estimating </w:t>
      </w:r>
      <w:r>
        <w:t>peak discharges for small drainage areas in which no significant flood storage occurs.</w:t>
      </w:r>
    </w:p>
    <w:p w:rsidR="00E17BF3" w:rsidRDefault="00E17BF3" w:rsidP="004F33CC">
      <w:pPr>
        <w:pStyle w:val="BodyText"/>
      </w:pPr>
      <w:r w:rsidRPr="00FA6577">
        <w:rPr>
          <w:rStyle w:val="Bold"/>
        </w:rPr>
        <w:t xml:space="preserve">Regulator </w:t>
      </w:r>
      <w:r>
        <w:t>– A device in combined sewer systems for diverting wet</w:t>
      </w:r>
      <w:r w:rsidR="00D63371">
        <w:t>-</w:t>
      </w:r>
      <w:r>
        <w:t xml:space="preserve">weather flows that exceed downstream capacity in the sewer system to a </w:t>
      </w:r>
      <w:r w:rsidR="00D63371">
        <w:t>combined sewer overflow</w:t>
      </w:r>
      <w:r>
        <w:t xml:space="preserve"> outfall.</w:t>
      </w:r>
    </w:p>
    <w:p w:rsidR="00016D14" w:rsidRPr="00EA5339" w:rsidRDefault="00BA47C8" w:rsidP="00016D14">
      <w:r>
        <w:rPr>
          <w:b/>
        </w:rPr>
        <w:t>Runoff</w:t>
      </w:r>
      <w:r w:rsidR="00016D14">
        <w:rPr>
          <w:b/>
        </w:rPr>
        <w:t xml:space="preserve"> – </w:t>
      </w:r>
      <w:r w:rsidR="003C63D5" w:rsidRPr="00653572">
        <w:t xml:space="preserve">The flow of water </w:t>
      </w:r>
      <w:r w:rsidR="00653572" w:rsidRPr="00653572">
        <w:t>from</w:t>
      </w:r>
      <w:r w:rsidR="00653572">
        <w:rPr>
          <w:b/>
        </w:rPr>
        <w:t xml:space="preserve"> </w:t>
      </w:r>
      <w:hyperlink r:id="rId74" w:tooltip="Rain" w:history="1">
        <w:r w:rsidR="00016D14" w:rsidRPr="00EA5339">
          <w:rPr>
            <w:rStyle w:val="Hyperlink"/>
            <w:color w:val="auto"/>
            <w:u w:val="none"/>
          </w:rPr>
          <w:t>rain</w:t>
        </w:r>
      </w:hyperlink>
      <w:r w:rsidR="00016D14" w:rsidRPr="00EA5339">
        <w:t xml:space="preserve">, </w:t>
      </w:r>
      <w:r w:rsidR="0061104F">
        <w:t>snow</w:t>
      </w:r>
      <w:hyperlink r:id="rId75" w:tooltip="Meltwater" w:history="1">
        <w:r w:rsidR="00016D14" w:rsidRPr="00EA5339">
          <w:rPr>
            <w:rStyle w:val="Hyperlink"/>
            <w:color w:val="auto"/>
            <w:u w:val="none"/>
          </w:rPr>
          <w:t>mel</w:t>
        </w:r>
      </w:hyperlink>
      <w:r w:rsidR="0061104F">
        <w:t>t</w:t>
      </w:r>
      <w:r w:rsidR="00016D14" w:rsidRPr="00EA5339">
        <w:t xml:space="preserve">, or other </w:t>
      </w:r>
      <w:r w:rsidR="00653572" w:rsidRPr="00EA5339">
        <w:t>sources over</w:t>
      </w:r>
      <w:r w:rsidR="00016D14" w:rsidRPr="00EA5339">
        <w:t xml:space="preserve"> the land</w:t>
      </w:r>
    </w:p>
    <w:p w:rsidR="0062037C" w:rsidRDefault="00E17BF3" w:rsidP="004F33CC">
      <w:pPr>
        <w:pStyle w:val="BodyText"/>
      </w:pPr>
      <w:r w:rsidRPr="00FA6577">
        <w:rPr>
          <w:rStyle w:val="Bold"/>
        </w:rPr>
        <w:t>Sanitary Sewer System (SSS)</w:t>
      </w:r>
      <w:r>
        <w:t xml:space="preserve"> – A municipal wastewater collection system that conveys domestic, commercial</w:t>
      </w:r>
      <w:r w:rsidR="00D63371">
        <w:t>,</w:t>
      </w:r>
      <w:r>
        <w:t xml:space="preserve"> and industrial wastewater and limited amounts of infiltrated groundwater and stormwater to a POTW. Areas served by </w:t>
      </w:r>
      <w:r w:rsidR="00D63371">
        <w:t>SSS</w:t>
      </w:r>
      <w:r>
        <w:t>s often have a municipal separate storm sewer system to collect and convey runoff from rainfall and snowmelt</w:t>
      </w:r>
      <w:r w:rsidR="0062037C">
        <w:t>.</w:t>
      </w:r>
    </w:p>
    <w:p w:rsidR="00E17BF3" w:rsidRDefault="00E17BF3" w:rsidP="004F33CC">
      <w:pPr>
        <w:pStyle w:val="BodyText"/>
      </w:pPr>
      <w:r w:rsidRPr="00FA6577">
        <w:rPr>
          <w:rStyle w:val="Bold"/>
        </w:rPr>
        <w:t xml:space="preserve">Satellite Sewer Systems </w:t>
      </w:r>
      <w:r>
        <w:t>–</w:t>
      </w:r>
      <w:r w:rsidR="00D75390">
        <w:t xml:space="preserve"> </w:t>
      </w:r>
      <w:r>
        <w:rPr>
          <w:bCs/>
        </w:rPr>
        <w:t>C</w:t>
      </w:r>
      <w:r>
        <w:t>ombined or sanitary sewer systems that convey flow to a publicly owned treatment works owned and operated by a separate entity.</w:t>
      </w:r>
    </w:p>
    <w:p w:rsidR="00E17BF3" w:rsidRDefault="00E17BF3" w:rsidP="004F33CC">
      <w:pPr>
        <w:pStyle w:val="BodyText"/>
      </w:pPr>
      <w:r w:rsidRPr="00FA6577">
        <w:rPr>
          <w:rStyle w:val="Bold"/>
        </w:rPr>
        <w:t xml:space="preserve">Secondary Treatment </w:t>
      </w:r>
      <w:r>
        <w:t>– Technology-based requirements for direct discharging municipal sewage treatment facilities. 40 CFR 133.102 defines secondary treatment as 30</w:t>
      </w:r>
      <w:r w:rsidR="00D63371">
        <w:t>-</w:t>
      </w:r>
      <w:r>
        <w:t xml:space="preserve">day averages of 30 </w:t>
      </w:r>
      <w:r w:rsidR="00D63371">
        <w:t>milligrams per liter (</w:t>
      </w:r>
      <w:r>
        <w:t>mg/</w:t>
      </w:r>
      <w:r w:rsidR="00D63371">
        <w:t>L)</w:t>
      </w:r>
      <w:r>
        <w:t xml:space="preserve"> BOD</w:t>
      </w:r>
      <w:r>
        <w:rPr>
          <w:vertAlign w:val="subscript"/>
        </w:rPr>
        <w:t>5</w:t>
      </w:r>
      <w:r>
        <w:t xml:space="preserve"> and 30 mg/</w:t>
      </w:r>
      <w:r w:rsidR="00D63371">
        <w:t>L</w:t>
      </w:r>
      <w:r>
        <w:t xml:space="preserve"> suspended solids, along with maintenance of pH within 6.0 to 9.0 (except as provided for special considerations and treatment equivalent to secondary treatment).</w:t>
      </w:r>
    </w:p>
    <w:p w:rsidR="00E17BF3" w:rsidRDefault="00E17BF3" w:rsidP="004F33CC">
      <w:pPr>
        <w:pStyle w:val="BodyText"/>
      </w:pPr>
      <w:r w:rsidRPr="00FA6577">
        <w:rPr>
          <w:rStyle w:val="Bold"/>
        </w:rPr>
        <w:t xml:space="preserve">Sensitive Area </w:t>
      </w:r>
      <w:r>
        <w:t xml:space="preserve">– </w:t>
      </w:r>
      <w:r>
        <w:rPr>
          <w:bCs/>
        </w:rPr>
        <w:t>An a</w:t>
      </w:r>
      <w:r>
        <w:t xml:space="preserve">rea of environmental significance or sensitivity that could be adversely affected by </w:t>
      </w:r>
      <w:r w:rsidR="00D63371">
        <w:t>combined sewer overflow</w:t>
      </w:r>
      <w:r>
        <w:t xml:space="preserve"> discharges. Sensitive areas include Outstanding National Resource Waters, National Marine Sanctuaries, water with threatened or endangered species, waters with primary contact recreation, public drinking water intakes, shellfish beds, and other areas identified by the permittee or </w:t>
      </w:r>
      <w:r w:rsidR="00D63371" w:rsidRPr="00D63371">
        <w:t>National Pollutant Discharge Elimination System</w:t>
      </w:r>
      <w:r>
        <w:t xml:space="preserve"> permitting authority, in coordination with the appropriate state or federal agencies.</w:t>
      </w:r>
    </w:p>
    <w:p w:rsidR="00E17BF3" w:rsidRDefault="00E17BF3" w:rsidP="004F33CC">
      <w:pPr>
        <w:pStyle w:val="BodyText"/>
      </w:pPr>
      <w:r w:rsidRPr="00FA6577">
        <w:rPr>
          <w:rStyle w:val="Bold"/>
        </w:rPr>
        <w:t>Sewer Separation</w:t>
      </w:r>
      <w:r>
        <w:t xml:space="preserve"> – </w:t>
      </w:r>
      <w:r w:rsidR="00D63371">
        <w:t>T</w:t>
      </w:r>
      <w:r>
        <w:t>he process of separating a combined sewer system into sanitary and separate storm sewer systems</w:t>
      </w:r>
      <w:r w:rsidR="0043213D">
        <w:t xml:space="preserve">. </w:t>
      </w:r>
      <w:r>
        <w:t>It is accomplished by constructing a new pipe system (either sanitary or separate storm) and diverting the appropriate types of flows (sanitary or storm) into the new sewers while allowing the existing sewers to carry only the other type of flow (storm or sanitary).</w:t>
      </w:r>
    </w:p>
    <w:p w:rsidR="00E17BF3" w:rsidRDefault="00E17BF3" w:rsidP="004F33CC">
      <w:pPr>
        <w:pStyle w:val="BodyText"/>
      </w:pPr>
      <w:r w:rsidRPr="00FA6577">
        <w:rPr>
          <w:rStyle w:val="Bold"/>
        </w:rPr>
        <w:t xml:space="preserve">Source of Impairment </w:t>
      </w:r>
      <w:r>
        <w:t>– Where possible, states, tribes</w:t>
      </w:r>
      <w:r w:rsidR="00D63371">
        <w:t>,</w:t>
      </w:r>
      <w:r>
        <w:t xml:space="preserve"> and other jurisdictions identify </w:t>
      </w:r>
      <w:r w:rsidR="00D63371">
        <w:t xml:space="preserve">from </w:t>
      </w:r>
      <w:r>
        <w:t xml:space="preserve">where pollutants or stressors (causes of impairment) are coming. </w:t>
      </w:r>
      <w:r w:rsidR="00D63371">
        <w:t xml:space="preserve">Such </w:t>
      </w:r>
      <w:r>
        <w:t xml:space="preserve">sources of impairment are the activities, facilities, or conditions that generate the pollutants that keep waters from meeting the </w:t>
      </w:r>
      <w:r w:rsidR="00D63371">
        <w:t xml:space="preserve">state-adopted </w:t>
      </w:r>
      <w:r>
        <w:t xml:space="preserve">criteria to protect designated uses. Sources of impairment include, for example, municipal sewage treatment plants, factories, storm sewers, </w:t>
      </w:r>
      <w:r w:rsidR="00D63371">
        <w:t>combined sewer overflow</w:t>
      </w:r>
      <w:r>
        <w:t>s, modification of hydrology, agricultural runoff, and runoff from city streets.</w:t>
      </w:r>
    </w:p>
    <w:p w:rsidR="00E17BF3" w:rsidRDefault="00E17BF3" w:rsidP="004F33CC">
      <w:pPr>
        <w:pStyle w:val="BodyText"/>
      </w:pPr>
      <w:r w:rsidRPr="00FA6577">
        <w:rPr>
          <w:rStyle w:val="Bold"/>
        </w:rPr>
        <w:t xml:space="preserve">Sub-Sewershed Area </w:t>
      </w:r>
      <w:r>
        <w:t xml:space="preserve">– An area within a </w:t>
      </w:r>
      <w:r w:rsidR="00D63371">
        <w:t>combined sewer system</w:t>
      </w:r>
      <w:r>
        <w:t xml:space="preserve"> that drains to one </w:t>
      </w:r>
      <w:r w:rsidR="00D63371">
        <w:t>combined sewer overflow</w:t>
      </w:r>
      <w:r>
        <w:t xml:space="preserve"> outfall.</w:t>
      </w:r>
    </w:p>
    <w:p w:rsidR="00E17BF3" w:rsidRPr="00FA6577" w:rsidRDefault="00E17BF3" w:rsidP="004F33CC">
      <w:pPr>
        <w:pStyle w:val="BodyText"/>
        <w:rPr>
          <w:rStyle w:val="Bold"/>
        </w:rPr>
      </w:pPr>
      <w:r w:rsidRPr="00FA6577">
        <w:rPr>
          <w:rStyle w:val="Bold"/>
        </w:rPr>
        <w:t xml:space="preserve">Tier III Waters </w:t>
      </w:r>
      <w:r w:rsidR="00D75390">
        <w:t>–</w:t>
      </w:r>
      <w:r w:rsidRPr="00FA6577">
        <w:rPr>
          <w:rStyle w:val="Bold"/>
        </w:rPr>
        <w:t xml:space="preserve"> </w:t>
      </w:r>
      <w:r>
        <w:t>Federal guidance establishes three levels or tiers of nondegradation, which is the model states are to use when adopting nondegradation provisions</w:t>
      </w:r>
      <w:r w:rsidR="0043213D">
        <w:t xml:space="preserve">. </w:t>
      </w:r>
      <w:r>
        <w:t>Tier III provides the highest level of protection from pollution to waters specifically identified as very high quality, important recreational resources, ecologically sensitive</w:t>
      </w:r>
      <w:r w:rsidR="00D63371">
        <w:t>,</w:t>
      </w:r>
      <w:r>
        <w:t xml:space="preserve"> or unique.</w:t>
      </w:r>
    </w:p>
    <w:p w:rsidR="00E17BF3" w:rsidRDefault="00E17BF3" w:rsidP="004F33CC">
      <w:pPr>
        <w:pStyle w:val="BodyText"/>
      </w:pPr>
      <w:r w:rsidRPr="00FA6577">
        <w:rPr>
          <w:rStyle w:val="Bold"/>
        </w:rPr>
        <w:t>Total Suspended Solids (TSS)</w:t>
      </w:r>
      <w:r>
        <w:t xml:space="preserve"> – A measure of the filterable solids present in a sample of water or wastewater (as determined by the method specified in 40 CFR Part 136).</w:t>
      </w:r>
    </w:p>
    <w:p w:rsidR="00C0519F" w:rsidRPr="00C0519F" w:rsidRDefault="00C0519F" w:rsidP="004F33CC">
      <w:pPr>
        <w:pStyle w:val="BodyText"/>
      </w:pPr>
      <w:r w:rsidRPr="00FA6577">
        <w:rPr>
          <w:rStyle w:val="Bold"/>
        </w:rPr>
        <w:t>Vegetated Swales</w:t>
      </w:r>
      <w:r>
        <w:t xml:space="preserve"> </w:t>
      </w:r>
      <w:r w:rsidR="00D63371">
        <w:t xml:space="preserve">(sometimes called </w:t>
      </w:r>
      <w:r w:rsidRPr="00C0519F">
        <w:t>grassed swales</w:t>
      </w:r>
      <w:r w:rsidR="00D63371">
        <w:t>)</w:t>
      </w:r>
      <w:r w:rsidRPr="00C0519F">
        <w:t xml:space="preserve"> </w:t>
      </w:r>
      <w:r w:rsidR="00D63371">
        <w:t>– O</w:t>
      </w:r>
      <w:r w:rsidRPr="00C0519F">
        <w:t>pen-channels designed specifically to treat and attenuate stormwater runoff</w:t>
      </w:r>
      <w:r w:rsidR="0043213D">
        <w:t xml:space="preserve">. </w:t>
      </w:r>
      <w:r w:rsidRPr="00C0519F">
        <w:t>Unlike traditional drainage ditches, the vegetation in a vegetated swale slows runoff to allow sedimentation and infiltration into the underlying soils.</w:t>
      </w:r>
    </w:p>
    <w:p w:rsidR="00E17BF3" w:rsidRDefault="00E17BF3" w:rsidP="004F33CC">
      <w:pPr>
        <w:pStyle w:val="BodyText"/>
      </w:pPr>
      <w:r w:rsidRPr="00FA6577">
        <w:rPr>
          <w:rStyle w:val="Bold"/>
        </w:rPr>
        <w:t>Wastewater Treatment Plant (WWTP)</w:t>
      </w:r>
      <w:r>
        <w:t xml:space="preserve"> – A facility containing a series of tanks, screens, filters, and other processes by which pollutants are removed from water.</w:t>
      </w:r>
    </w:p>
    <w:p w:rsidR="00E17BF3" w:rsidRDefault="00E17BF3" w:rsidP="004F33CC">
      <w:pPr>
        <w:pStyle w:val="BodyText"/>
      </w:pPr>
      <w:r w:rsidRPr="00FA6577">
        <w:rPr>
          <w:rStyle w:val="Bold"/>
        </w:rPr>
        <w:t xml:space="preserve">Water Quality Standards </w:t>
      </w:r>
      <w:r>
        <w:t>–</w:t>
      </w:r>
      <w:r w:rsidR="00D75390">
        <w:t xml:space="preserve"> </w:t>
      </w:r>
      <w:r>
        <w:t>Standards established by regulatory agencies that consist of the beneficial use or uses of a waterbody, the numeric and narrative water quality criteria that are necessary to protect the use or uses of that waterbody, and an antidegradation statement.</w:t>
      </w:r>
    </w:p>
    <w:p w:rsidR="00E17BF3" w:rsidRDefault="00E17BF3" w:rsidP="004F33CC">
      <w:pPr>
        <w:pStyle w:val="BodyText"/>
      </w:pPr>
      <w:r w:rsidRPr="00FA6577">
        <w:rPr>
          <w:rStyle w:val="Bold"/>
        </w:rPr>
        <w:t>Wet</w:t>
      </w:r>
      <w:r w:rsidR="00D16C5A" w:rsidRPr="00FA6577">
        <w:rPr>
          <w:rStyle w:val="Bold"/>
        </w:rPr>
        <w:t>-</w:t>
      </w:r>
      <w:r w:rsidRPr="00FA6577">
        <w:rPr>
          <w:rStyle w:val="Bold"/>
        </w:rPr>
        <w:t xml:space="preserve">Weather Event </w:t>
      </w:r>
      <w:r>
        <w:t xml:space="preserve">– A discharge from a combined sewer </w:t>
      </w:r>
      <w:r w:rsidR="00D63371">
        <w:t xml:space="preserve">system </w:t>
      </w:r>
      <w:r>
        <w:t>that occurs in direct response to rainfall or snowmelt.</w:t>
      </w:r>
    </w:p>
    <w:p w:rsidR="00E17BF3" w:rsidRDefault="00E17BF3" w:rsidP="004F33CC">
      <w:pPr>
        <w:pStyle w:val="BodyText"/>
      </w:pPr>
      <w:r w:rsidRPr="00FA6577">
        <w:rPr>
          <w:rStyle w:val="Bold"/>
        </w:rPr>
        <w:t>Wet</w:t>
      </w:r>
      <w:r w:rsidR="00D16C5A" w:rsidRPr="00FA6577">
        <w:rPr>
          <w:rStyle w:val="Bold"/>
        </w:rPr>
        <w:t>-</w:t>
      </w:r>
      <w:r w:rsidRPr="00FA6577">
        <w:rPr>
          <w:rStyle w:val="Bold"/>
        </w:rPr>
        <w:t>Weather Flow</w:t>
      </w:r>
      <w:r>
        <w:t xml:space="preserve"> – </w:t>
      </w:r>
      <w:r w:rsidR="007C1E0F">
        <w:t>Dry-weather flow</w:t>
      </w:r>
      <w:r>
        <w:t xml:space="preserve"> combined with stormwater introduced into a combined sewer</w:t>
      </w:r>
      <w:r w:rsidR="00D63371">
        <w:t xml:space="preserve"> system</w:t>
      </w:r>
      <w:r>
        <w:t>.</w:t>
      </w:r>
    </w:p>
    <w:p w:rsidR="00E17BF3" w:rsidRDefault="00E17BF3" w:rsidP="004F33CC">
      <w:pPr>
        <w:pStyle w:val="BodyText"/>
      </w:pPr>
      <w:r w:rsidRPr="00FA6577">
        <w:rPr>
          <w:rStyle w:val="Bold"/>
        </w:rPr>
        <w:t>Wet</w:t>
      </w:r>
      <w:r w:rsidR="00D16C5A" w:rsidRPr="00FA6577">
        <w:rPr>
          <w:rStyle w:val="Bold"/>
        </w:rPr>
        <w:t>-</w:t>
      </w:r>
      <w:r w:rsidRPr="00FA6577">
        <w:rPr>
          <w:rStyle w:val="Bold"/>
        </w:rPr>
        <w:t>Weather Flow Conditions</w:t>
      </w:r>
      <w:r>
        <w:t xml:space="preserve"> – Hydraulic flow conditions within the combined sewer system resulting from a wet</w:t>
      </w:r>
      <w:r w:rsidR="00D63371">
        <w:t>-</w:t>
      </w:r>
      <w:r>
        <w:t>weather event.</w:t>
      </w:r>
    </w:p>
    <w:p w:rsidR="00D8779B" w:rsidRDefault="00D8779B" w:rsidP="004F33CC">
      <w:pPr>
        <w:pStyle w:val="BodyText"/>
      </w:pPr>
    </w:p>
    <w:p w:rsidR="00E17BF3" w:rsidRDefault="00E17BF3">
      <w:pPr>
        <w:spacing w:before="240" w:after="240"/>
        <w:jc w:val="center"/>
        <w:rPr>
          <w:rFonts w:cs="Arial"/>
          <w:iCs/>
          <w:color w:val="000000"/>
        </w:rPr>
        <w:sectPr w:rsidR="00E17BF3" w:rsidSect="00C575E4">
          <w:headerReference w:type="even" r:id="rId76"/>
          <w:headerReference w:type="default" r:id="rId77"/>
          <w:footerReference w:type="even" r:id="rId78"/>
          <w:footerReference w:type="default" r:id="rId79"/>
          <w:endnotePr>
            <w:numFmt w:val="decimal"/>
            <w:numRestart w:val="eachSect"/>
          </w:endnotePr>
          <w:type w:val="oddPage"/>
          <w:pgSz w:w="12240" w:h="15840" w:code="1"/>
          <w:pgMar w:top="1440" w:right="1440" w:bottom="1440" w:left="1440" w:header="720" w:footer="720" w:gutter="0"/>
          <w:cols w:space="720"/>
          <w:docGrid w:linePitch="360"/>
        </w:sectPr>
      </w:pPr>
    </w:p>
    <w:p w:rsidR="00E17BF3" w:rsidRDefault="00E17BF3" w:rsidP="007F221D">
      <w:pPr>
        <w:pStyle w:val="Heading1A"/>
      </w:pPr>
      <w:bookmarkStart w:id="289" w:name="_Toc243809478"/>
      <w:bookmarkStart w:id="290" w:name="_Toc285015642"/>
      <w:r w:rsidRPr="007F221D">
        <w:t>Appendix A</w:t>
      </w:r>
      <w:r w:rsidR="007F221D">
        <w:t>. One-Hour</w:t>
      </w:r>
      <w:r w:rsidR="00A57320">
        <w:t>,</w:t>
      </w:r>
      <w:r w:rsidR="007F221D">
        <w:t xml:space="preserve"> 3-Month Rainfall Intensities</w:t>
      </w:r>
      <w:r w:rsidR="00A57320">
        <w:t xml:space="preserve">, </w:t>
      </w:r>
      <w:r w:rsidR="007F221D">
        <w:t>Schedule 4 – CSO Volume</w:t>
      </w:r>
      <w:bookmarkEnd w:id="289"/>
      <w:bookmarkEnd w:id="290"/>
    </w:p>
    <w:p w:rsidR="005F01AD" w:rsidRDefault="005F01AD" w:rsidP="005F01AD">
      <w:pPr>
        <w:pStyle w:val="Heading9"/>
      </w:pPr>
    </w:p>
    <w:p w:rsidR="00E17BF3" w:rsidRDefault="00B11595">
      <w:pPr>
        <w:rPr>
          <w:szCs w:val="20"/>
        </w:rPr>
      </w:pPr>
      <w:r>
        <w:rPr>
          <w:szCs w:val="20"/>
        </w:rPr>
        <w:br w:type="page"/>
      </w:r>
    </w:p>
    <w:p w:rsidR="00E17BF3" w:rsidRDefault="00726551" w:rsidP="00A84929">
      <w:pPr>
        <w:pStyle w:val="Header"/>
        <w:tabs>
          <w:tab w:val="clear" w:pos="4320"/>
          <w:tab w:val="clear" w:pos="8640"/>
        </w:tabs>
        <w:ind w:left="-360"/>
        <w:jc w:val="center"/>
        <w:rPr>
          <w:szCs w:val="20"/>
        </w:rPr>
      </w:pPr>
      <w:r>
        <w:rPr>
          <w:noProof/>
        </w:rPr>
        <w:drawing>
          <wp:inline distT="0" distB="0" distL="0" distR="0">
            <wp:extent cx="6477000" cy="75438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srcRect/>
                    <a:stretch>
                      <a:fillRect/>
                    </a:stretch>
                  </pic:blipFill>
                  <pic:spPr bwMode="auto">
                    <a:xfrm>
                      <a:off x="0" y="0"/>
                      <a:ext cx="6477000" cy="7543800"/>
                    </a:xfrm>
                    <a:prstGeom prst="rect">
                      <a:avLst/>
                    </a:prstGeom>
                    <a:noFill/>
                    <a:ln w="9525">
                      <a:noFill/>
                      <a:miter lim="800000"/>
                      <a:headEnd/>
                      <a:tailEnd/>
                    </a:ln>
                  </pic:spPr>
                </pic:pic>
              </a:graphicData>
            </a:graphic>
          </wp:inline>
        </w:drawing>
      </w:r>
      <w:r w:rsidR="00E17BF3">
        <w:rPr>
          <w:szCs w:val="20"/>
        </w:rPr>
        <w:br w:type="page"/>
      </w:r>
      <w:r>
        <w:rPr>
          <w:noProof/>
        </w:rPr>
        <w:drawing>
          <wp:inline distT="0" distB="0" distL="0" distR="0">
            <wp:extent cx="6457950" cy="75152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srcRect/>
                    <a:stretch>
                      <a:fillRect/>
                    </a:stretch>
                  </pic:blipFill>
                  <pic:spPr bwMode="auto">
                    <a:xfrm>
                      <a:off x="0" y="0"/>
                      <a:ext cx="6457950" cy="7515225"/>
                    </a:xfrm>
                    <a:prstGeom prst="rect">
                      <a:avLst/>
                    </a:prstGeom>
                    <a:noFill/>
                    <a:ln w="9525">
                      <a:noFill/>
                      <a:miter lim="800000"/>
                      <a:headEnd/>
                      <a:tailEnd/>
                    </a:ln>
                  </pic:spPr>
                </pic:pic>
              </a:graphicData>
            </a:graphic>
          </wp:inline>
        </w:drawing>
      </w:r>
      <w:r w:rsidR="00E17BF3">
        <w:rPr>
          <w:szCs w:val="20"/>
        </w:rPr>
        <w:br w:type="page"/>
      </w:r>
      <w:r>
        <w:rPr>
          <w:noProof/>
        </w:rPr>
        <w:drawing>
          <wp:inline distT="0" distB="0" distL="0" distR="0">
            <wp:extent cx="6743700" cy="75152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srcRect/>
                    <a:stretch>
                      <a:fillRect/>
                    </a:stretch>
                  </pic:blipFill>
                  <pic:spPr bwMode="auto">
                    <a:xfrm>
                      <a:off x="0" y="0"/>
                      <a:ext cx="6743700" cy="7515225"/>
                    </a:xfrm>
                    <a:prstGeom prst="rect">
                      <a:avLst/>
                    </a:prstGeom>
                    <a:noFill/>
                    <a:ln w="9525">
                      <a:noFill/>
                      <a:miter lim="800000"/>
                      <a:headEnd/>
                      <a:tailEnd/>
                    </a:ln>
                  </pic:spPr>
                </pic:pic>
              </a:graphicData>
            </a:graphic>
          </wp:inline>
        </w:drawing>
      </w:r>
      <w:r w:rsidR="00E17BF3">
        <w:rPr>
          <w:szCs w:val="20"/>
        </w:rPr>
        <w:br w:type="page"/>
      </w:r>
      <w:r>
        <w:rPr>
          <w:noProof/>
        </w:rPr>
        <w:drawing>
          <wp:inline distT="0" distB="0" distL="0" distR="0">
            <wp:extent cx="6677025" cy="74961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srcRect/>
                    <a:stretch>
                      <a:fillRect/>
                    </a:stretch>
                  </pic:blipFill>
                  <pic:spPr bwMode="auto">
                    <a:xfrm>
                      <a:off x="0" y="0"/>
                      <a:ext cx="6677025" cy="7496175"/>
                    </a:xfrm>
                    <a:prstGeom prst="rect">
                      <a:avLst/>
                    </a:prstGeom>
                    <a:noFill/>
                    <a:ln w="9525">
                      <a:noFill/>
                      <a:miter lim="800000"/>
                      <a:headEnd/>
                      <a:tailEnd/>
                    </a:ln>
                  </pic:spPr>
                </pic:pic>
              </a:graphicData>
            </a:graphic>
          </wp:inline>
        </w:drawing>
      </w:r>
      <w:r w:rsidR="00E17BF3">
        <w:rPr>
          <w:szCs w:val="20"/>
        </w:rPr>
        <w:br w:type="page"/>
      </w:r>
    </w:p>
    <w:p w:rsidR="00E17BF3" w:rsidRDefault="00726551" w:rsidP="004525BA">
      <w:pPr>
        <w:ind w:left="-840"/>
        <w:rPr>
          <w:szCs w:val="20"/>
        </w:rPr>
      </w:pPr>
      <w:r>
        <w:rPr>
          <w:noProof/>
        </w:rPr>
        <w:drawing>
          <wp:inline distT="0" distB="0" distL="0" distR="0">
            <wp:extent cx="7048500" cy="75152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srcRect/>
                    <a:stretch>
                      <a:fillRect/>
                    </a:stretch>
                  </pic:blipFill>
                  <pic:spPr bwMode="auto">
                    <a:xfrm>
                      <a:off x="0" y="0"/>
                      <a:ext cx="7048500" cy="7515225"/>
                    </a:xfrm>
                    <a:prstGeom prst="rect">
                      <a:avLst/>
                    </a:prstGeom>
                    <a:noFill/>
                    <a:ln w="9525">
                      <a:noFill/>
                      <a:miter lim="800000"/>
                      <a:headEnd/>
                      <a:tailEnd/>
                    </a:ln>
                  </pic:spPr>
                </pic:pic>
              </a:graphicData>
            </a:graphic>
          </wp:inline>
        </w:drawing>
      </w:r>
    </w:p>
    <w:p w:rsidR="00E17BF3" w:rsidRDefault="00E17BF3">
      <w:pPr>
        <w:rPr>
          <w:szCs w:val="20"/>
        </w:rPr>
      </w:pPr>
    </w:p>
    <w:p w:rsidR="00E17BF3" w:rsidRDefault="00E17BF3" w:rsidP="00B11595">
      <w:pPr>
        <w:jc w:val="center"/>
        <w:rPr>
          <w:rFonts w:cs="Arial"/>
          <w:b/>
          <w:bCs/>
          <w:i/>
          <w:color w:val="000000"/>
        </w:rPr>
      </w:pPr>
      <w:r>
        <w:br w:type="page"/>
      </w:r>
      <w:r w:rsidR="00726551">
        <w:rPr>
          <w:noProof/>
        </w:rPr>
        <w:drawing>
          <wp:inline distT="0" distB="0" distL="0" distR="0">
            <wp:extent cx="3552825" cy="75152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srcRect/>
                    <a:stretch>
                      <a:fillRect/>
                    </a:stretch>
                  </pic:blipFill>
                  <pic:spPr bwMode="auto">
                    <a:xfrm>
                      <a:off x="0" y="0"/>
                      <a:ext cx="3552825" cy="7515225"/>
                    </a:xfrm>
                    <a:prstGeom prst="rect">
                      <a:avLst/>
                    </a:prstGeom>
                    <a:noFill/>
                    <a:ln w="9525">
                      <a:noFill/>
                      <a:miter lim="800000"/>
                      <a:headEnd/>
                      <a:tailEnd/>
                    </a:ln>
                  </pic:spPr>
                </pic:pic>
              </a:graphicData>
            </a:graphic>
          </wp:inline>
        </w:drawing>
      </w:r>
    </w:p>
    <w:p w:rsidR="00E17BF3" w:rsidRDefault="00E17BF3">
      <w:pPr>
        <w:spacing w:before="240" w:after="240"/>
        <w:jc w:val="center"/>
        <w:rPr>
          <w:rFonts w:cs="Arial"/>
          <w:b/>
          <w:bCs/>
          <w:i/>
          <w:color w:val="000000"/>
        </w:rPr>
      </w:pPr>
    </w:p>
    <w:p w:rsidR="00B11595" w:rsidRDefault="00B11595" w:rsidP="00B11595">
      <w:pPr>
        <w:pStyle w:val="Heading1A"/>
        <w:sectPr w:rsidR="00B11595" w:rsidSect="005F01AD">
          <w:headerReference w:type="even" r:id="rId86"/>
          <w:headerReference w:type="default" r:id="rId87"/>
          <w:footerReference w:type="even" r:id="rId88"/>
          <w:footerReference w:type="default" r:id="rId89"/>
          <w:headerReference w:type="first" r:id="rId90"/>
          <w:footerReference w:type="first" r:id="rId91"/>
          <w:endnotePr>
            <w:numFmt w:val="decimal"/>
            <w:numRestart w:val="eachSect"/>
          </w:endnotePr>
          <w:type w:val="oddPage"/>
          <w:pgSz w:w="12240" w:h="15840"/>
          <w:pgMar w:top="1440" w:right="1440" w:bottom="1440" w:left="1440" w:header="720" w:footer="720" w:gutter="0"/>
          <w:pgNumType w:start="1" w:chapStyle="9"/>
          <w:cols w:space="720"/>
          <w:titlePg/>
          <w:docGrid w:linePitch="360"/>
        </w:sectPr>
      </w:pPr>
    </w:p>
    <w:p w:rsidR="002A082A" w:rsidRDefault="002A082A" w:rsidP="002A082A">
      <w:pPr>
        <w:pStyle w:val="Heading9"/>
      </w:pPr>
      <w:bookmarkStart w:id="291" w:name="_Toc243809479"/>
    </w:p>
    <w:p w:rsidR="00807E7C" w:rsidRDefault="00E17BF3" w:rsidP="00807E7C">
      <w:pPr>
        <w:pStyle w:val="Heading1A"/>
      </w:pPr>
      <w:bookmarkStart w:id="292" w:name="_Toc285015643"/>
      <w:r>
        <w:t>Appendix B</w:t>
      </w:r>
      <w:r w:rsidR="007F221D">
        <w:t xml:space="preserve">. </w:t>
      </w:r>
      <w:r w:rsidR="007F221D" w:rsidRPr="007F221D">
        <w:t xml:space="preserve">Hydraulic Calculations within Green </w:t>
      </w:r>
      <w:r w:rsidRPr="007F221D">
        <w:t>LTCP</w:t>
      </w:r>
      <w:r w:rsidR="007F221D" w:rsidRPr="007F221D">
        <w:t>-</w:t>
      </w:r>
      <w:r w:rsidRPr="007F221D">
        <w:t>EZ</w:t>
      </w:r>
      <w:r w:rsidR="00B11595">
        <w:t>,</w:t>
      </w:r>
      <w:r w:rsidR="00A57320">
        <w:t xml:space="preserve"> </w:t>
      </w:r>
      <w:r w:rsidR="007F221D" w:rsidRPr="007F221D">
        <w:t xml:space="preserve">Schedule 4 – </w:t>
      </w:r>
      <w:r w:rsidRPr="007F221D">
        <w:t xml:space="preserve">CSO </w:t>
      </w:r>
      <w:r w:rsidR="007F221D" w:rsidRPr="007F221D">
        <w:t>Volume</w:t>
      </w:r>
      <w:r w:rsidR="00B11595">
        <w:t>,</w:t>
      </w:r>
      <w:r w:rsidR="007F221D" w:rsidRPr="007F221D">
        <w:t xml:space="preserve"> and</w:t>
      </w:r>
      <w:r w:rsidR="007F221D">
        <w:t xml:space="preserve"> </w:t>
      </w:r>
      <w:r w:rsidR="007F221D" w:rsidRPr="007F221D">
        <w:t xml:space="preserve">Schedules </w:t>
      </w:r>
      <w:r w:rsidRPr="007F221D">
        <w:t>5</w:t>
      </w:r>
      <w:r w:rsidR="00B91F0C" w:rsidRPr="007F221D">
        <w:t xml:space="preserve">A </w:t>
      </w:r>
      <w:r w:rsidR="007F221D" w:rsidRPr="007F221D">
        <w:t xml:space="preserve">and </w:t>
      </w:r>
      <w:r w:rsidR="00B91F0C" w:rsidRPr="007F221D">
        <w:t xml:space="preserve">5B </w:t>
      </w:r>
      <w:r w:rsidR="007F221D" w:rsidRPr="007F221D">
        <w:t xml:space="preserve">– </w:t>
      </w:r>
      <w:r w:rsidRPr="007F221D">
        <w:t xml:space="preserve">CSO </w:t>
      </w:r>
      <w:r w:rsidR="007F221D" w:rsidRPr="007F221D">
        <w:t>Control</w:t>
      </w:r>
      <w:bookmarkEnd w:id="291"/>
      <w:bookmarkEnd w:id="292"/>
    </w:p>
    <w:p w:rsidR="005F01AD" w:rsidRPr="002A082A" w:rsidRDefault="005F01AD" w:rsidP="002A082A"/>
    <w:p w:rsidR="0062037C" w:rsidRPr="00B11595" w:rsidRDefault="00807E7C" w:rsidP="004D23B9">
      <w:pPr>
        <w:pStyle w:val="Heading3"/>
      </w:pPr>
      <w:r>
        <w:br w:type="page"/>
      </w:r>
      <w:bookmarkStart w:id="293" w:name="_Toc244324735"/>
      <w:bookmarkStart w:id="294" w:name="_Toc244326383"/>
      <w:bookmarkStart w:id="295" w:name="_Toc244332004"/>
      <w:bookmarkStart w:id="296" w:name="_Toc244334892"/>
      <w:r w:rsidR="00E17BF3" w:rsidRPr="00B11595">
        <w:t>Introduction</w:t>
      </w:r>
      <w:bookmarkEnd w:id="293"/>
      <w:bookmarkEnd w:id="294"/>
      <w:bookmarkEnd w:id="295"/>
      <w:bookmarkEnd w:id="296"/>
    </w:p>
    <w:p w:rsidR="0062037C" w:rsidRDefault="00E17BF3" w:rsidP="004D23B9">
      <w:pPr>
        <w:pStyle w:val="BodyText"/>
      </w:pPr>
      <w:r>
        <w:t>It is necessary to make several important estimates within Schedule 4</w:t>
      </w:r>
      <w:r w:rsidR="00FC3334">
        <w:t>-</w:t>
      </w:r>
      <w:r>
        <w:t>CSO Volume</w:t>
      </w:r>
      <w:r w:rsidR="00FC3334">
        <w:t xml:space="preserve"> (and again in Schedule 5A-CSO </w:t>
      </w:r>
      <w:r w:rsidR="00557A2A">
        <w:t xml:space="preserve">RUNOFF </w:t>
      </w:r>
      <w:r w:rsidR="00FC3334">
        <w:t>CONTROL</w:t>
      </w:r>
      <w:r w:rsidR="00581D70">
        <w:t>)</w:t>
      </w:r>
      <w:r>
        <w:t xml:space="preserve">. These estimates are for quantification of the amount of combined sewage that </w:t>
      </w:r>
      <w:r w:rsidR="007B27AF">
        <w:t>overflows</w:t>
      </w:r>
      <w:r>
        <w:t xml:space="preserve"> the amount of combined sewage that is diverted to an interceptor and transported to the WWTP and, in some instances, the amount of combined sewage that goes untreated at the WWTP. Continuous simulation hydrology and hydraulic models like</w:t>
      </w:r>
      <w:r w:rsidR="00AF141B">
        <w:t xml:space="preserve"> the storm water management model (</w:t>
      </w:r>
      <w:r w:rsidRPr="00AF141B">
        <w:t>SWMM</w:t>
      </w:r>
      <w:r w:rsidR="00AF141B">
        <w:t>)</w:t>
      </w:r>
      <w:r>
        <w:t xml:space="preserve"> are often applied for these purposes. However, in the spirit of keeping </w:t>
      </w:r>
      <w:r w:rsidR="00D55649">
        <w:t xml:space="preserve">Green </w:t>
      </w:r>
      <w:r>
        <w:t xml:space="preserve">LTCP-EZ easy, simple relationships and equations were </w:t>
      </w:r>
      <w:r w:rsidR="007B3819">
        <w:t>us</w:t>
      </w:r>
      <w:r>
        <w:t xml:space="preserve">ed instead of detailed models. This </w:t>
      </w:r>
      <w:r w:rsidR="00B6221B">
        <w:t>a</w:t>
      </w:r>
      <w:r>
        <w:t xml:space="preserve">ppendix describes the method used to make these estimations in the </w:t>
      </w:r>
      <w:r w:rsidR="00D55649">
        <w:t xml:space="preserve">Green </w:t>
      </w:r>
      <w:r>
        <w:t>LTCP-EZ Template</w:t>
      </w:r>
      <w:r w:rsidR="0062037C">
        <w:t>.</w:t>
      </w:r>
    </w:p>
    <w:p w:rsidR="00E17BF3" w:rsidRDefault="00E17BF3" w:rsidP="004D23B9">
      <w:pPr>
        <w:pStyle w:val="Heading3"/>
      </w:pPr>
      <w:bookmarkStart w:id="297" w:name="_Toc244324736"/>
      <w:bookmarkStart w:id="298" w:name="_Toc244326384"/>
      <w:bookmarkStart w:id="299" w:name="_Toc244332005"/>
      <w:bookmarkStart w:id="300" w:name="_Toc244334893"/>
      <w:r>
        <w:t>Overflow Fraction of Combined Sewage</w:t>
      </w:r>
      <w:bookmarkEnd w:id="297"/>
      <w:bookmarkEnd w:id="298"/>
      <w:bookmarkEnd w:id="299"/>
      <w:bookmarkEnd w:id="300"/>
    </w:p>
    <w:p w:rsidR="0062037C" w:rsidRPr="004D23B9" w:rsidRDefault="00E17BF3" w:rsidP="004D23B9">
      <w:pPr>
        <w:pStyle w:val="BodyText"/>
        <w:rPr>
          <w:szCs w:val="20"/>
        </w:rPr>
      </w:pPr>
      <w:r w:rsidRPr="004D23B9">
        <w:rPr>
          <w:szCs w:val="20"/>
        </w:rPr>
        <w:t xml:space="preserve">The fraction of runoff volume that overflows at the CSO hydraulic control at the lower end of a sub-sewershed is dependent on peak flow rate within the sub-sewershed (runoff plus </w:t>
      </w:r>
      <w:r w:rsidR="007C1E0F" w:rsidRPr="004D23B9">
        <w:rPr>
          <w:szCs w:val="20"/>
        </w:rPr>
        <w:t>dry-weather flow</w:t>
      </w:r>
      <w:r w:rsidRPr="004D23B9">
        <w:rPr>
          <w:szCs w:val="20"/>
        </w:rPr>
        <w:t>) and the hydraulic control capacity. The peak runoff rate (</w:t>
      </w:r>
      <w:r w:rsidRPr="004D23B9">
        <w:rPr>
          <w:rStyle w:val="italic"/>
          <w:szCs w:val="20"/>
        </w:rPr>
        <w:t>Qp</w:t>
      </w:r>
      <w:r w:rsidRPr="004D23B9">
        <w:rPr>
          <w:szCs w:val="20"/>
        </w:rPr>
        <w:t xml:space="preserve">) for the one-hour, </w:t>
      </w:r>
      <w:r w:rsidR="007B3819" w:rsidRPr="004D23B9">
        <w:rPr>
          <w:szCs w:val="20"/>
        </w:rPr>
        <w:t>3-month</w:t>
      </w:r>
      <w:r w:rsidRPr="004D23B9">
        <w:rPr>
          <w:szCs w:val="20"/>
        </w:rPr>
        <w:t xml:space="preserve"> rainfall is calculated with the rational method. Similarly, the total volume of runoff (</w:t>
      </w:r>
      <w:r w:rsidRPr="004D23B9">
        <w:rPr>
          <w:rStyle w:val="italic"/>
          <w:szCs w:val="20"/>
        </w:rPr>
        <w:t xml:space="preserve">Vt </w:t>
      </w:r>
      <w:r w:rsidRPr="004D23B9">
        <w:rPr>
          <w:szCs w:val="20"/>
        </w:rPr>
        <w:t xml:space="preserve">) for the 24-hour, </w:t>
      </w:r>
      <w:r w:rsidR="007B3819" w:rsidRPr="004D23B9">
        <w:rPr>
          <w:szCs w:val="20"/>
        </w:rPr>
        <w:t>3-month</w:t>
      </w:r>
      <w:r w:rsidRPr="004D23B9">
        <w:rPr>
          <w:szCs w:val="20"/>
        </w:rPr>
        <w:t xml:space="preserve"> rainfall is also calculated with the rational method. The peak runoff rate is compared with the capacity of the hydraulic control to determine whether or not an overflow occurs. The volume of overflow (</w:t>
      </w:r>
      <w:r w:rsidRPr="004D23B9">
        <w:rPr>
          <w:rStyle w:val="italic"/>
          <w:szCs w:val="20"/>
        </w:rPr>
        <w:t>Vo</w:t>
      </w:r>
      <w:r w:rsidRPr="004D23B9">
        <w:rPr>
          <w:szCs w:val="20"/>
        </w:rPr>
        <w:t>) depends on the shape of the runoff hydrograph through the 24-hour rainfall period</w:t>
      </w:r>
      <w:r w:rsidR="0062037C" w:rsidRPr="004D23B9">
        <w:rPr>
          <w:szCs w:val="20"/>
        </w:rPr>
        <w:t>.</w:t>
      </w:r>
    </w:p>
    <w:p w:rsidR="00E17BF3" w:rsidRPr="004D23B9" w:rsidRDefault="00E17BF3" w:rsidP="004D23B9">
      <w:pPr>
        <w:pStyle w:val="BodyText"/>
        <w:rPr>
          <w:szCs w:val="20"/>
        </w:rPr>
      </w:pPr>
      <w:r w:rsidRPr="004D23B9">
        <w:rPr>
          <w:szCs w:val="20"/>
        </w:rPr>
        <w:t>Dimensional reasoning suggests that the ratio of overflow volume to total runoff volume is a function of the ratio of hydraulic control capacity to the peak runoff rate. It can be shown that, for a triangular hydrograph, the following relationship holds:</w:t>
      </w:r>
    </w:p>
    <w:p w:rsidR="00E17BF3" w:rsidRPr="004D23B9" w:rsidRDefault="00C44873">
      <w:pPr>
        <w:pStyle w:val="BodyText0"/>
        <w:tabs>
          <w:tab w:val="center" w:pos="7920"/>
        </w:tabs>
        <w:ind w:left="990"/>
        <w:rPr>
          <w:rFonts w:cs="Arial"/>
          <w:szCs w:val="20"/>
        </w:rPr>
      </w:pPr>
      <w:r w:rsidRPr="004D23B9">
        <w:rPr>
          <w:rFonts w:cs="Arial"/>
          <w:position w:val="-34"/>
          <w:szCs w:val="20"/>
        </w:rPr>
        <w:object w:dxaOrig="15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2.75pt" o:ole="">
            <v:imagedata r:id="rId92" o:title=""/>
          </v:shape>
          <o:OLEObject Type="Embed" ProgID="Equation.3" ShapeID="_x0000_i1029" DrawAspect="Content" ObjectID="_1542086700" r:id="rId93"/>
        </w:object>
      </w:r>
      <w:r w:rsidR="00E17BF3" w:rsidRPr="004D23B9">
        <w:rPr>
          <w:rFonts w:cs="Arial"/>
          <w:szCs w:val="20"/>
        </w:rPr>
        <w:tab/>
        <w:t>(1)</w:t>
      </w:r>
    </w:p>
    <w:p w:rsidR="00E17BF3" w:rsidRPr="004D23B9" w:rsidRDefault="00E17BF3">
      <w:pPr>
        <w:pStyle w:val="BodyText0"/>
        <w:tabs>
          <w:tab w:val="center" w:pos="1080"/>
          <w:tab w:val="center" w:pos="1620"/>
          <w:tab w:val="left" w:pos="1980"/>
        </w:tabs>
        <w:rPr>
          <w:rFonts w:cs="Arial"/>
          <w:szCs w:val="20"/>
        </w:rPr>
      </w:pPr>
      <w:r w:rsidRPr="004D23B9">
        <w:rPr>
          <w:rFonts w:cs="Arial"/>
          <w:szCs w:val="20"/>
        </w:rPr>
        <w:t>where</w:t>
      </w:r>
      <w:r w:rsidRPr="004D23B9">
        <w:rPr>
          <w:rFonts w:cs="Arial"/>
          <w:szCs w:val="20"/>
        </w:rPr>
        <w:tab/>
      </w:r>
      <w:r w:rsidRPr="004D23B9">
        <w:rPr>
          <w:rFonts w:cs="Arial"/>
          <w:i/>
          <w:iCs/>
          <w:szCs w:val="20"/>
        </w:rPr>
        <w:t>V</w:t>
      </w:r>
      <w:r w:rsidRPr="004D23B9">
        <w:rPr>
          <w:rFonts w:cs="Arial"/>
          <w:i/>
          <w:iCs/>
          <w:szCs w:val="20"/>
          <w:vertAlign w:val="subscript"/>
        </w:rPr>
        <w:t>o</w:t>
      </w:r>
      <w:r w:rsidRPr="004D23B9">
        <w:rPr>
          <w:rFonts w:cs="Arial"/>
          <w:szCs w:val="20"/>
        </w:rPr>
        <w:tab/>
        <w:t>=</w:t>
      </w:r>
      <w:r w:rsidRPr="004D23B9">
        <w:rPr>
          <w:rFonts w:cs="Arial"/>
          <w:szCs w:val="20"/>
        </w:rPr>
        <w:tab/>
        <w:t>volume of overflow (MG);</w:t>
      </w:r>
    </w:p>
    <w:p w:rsidR="00E17BF3" w:rsidRPr="004D23B9" w:rsidRDefault="00E17BF3">
      <w:pPr>
        <w:pStyle w:val="BodyText0"/>
        <w:tabs>
          <w:tab w:val="center" w:pos="1080"/>
          <w:tab w:val="center" w:pos="1620"/>
          <w:tab w:val="left" w:pos="1980"/>
        </w:tabs>
        <w:rPr>
          <w:rFonts w:cs="Arial"/>
          <w:szCs w:val="20"/>
        </w:rPr>
      </w:pPr>
      <w:r w:rsidRPr="004D23B9">
        <w:rPr>
          <w:rFonts w:cs="Arial"/>
          <w:szCs w:val="20"/>
        </w:rPr>
        <w:tab/>
      </w:r>
      <w:r w:rsidRPr="004D23B9">
        <w:rPr>
          <w:rFonts w:cs="Arial"/>
          <w:i/>
          <w:iCs/>
          <w:szCs w:val="20"/>
        </w:rPr>
        <w:t>V</w:t>
      </w:r>
      <w:r w:rsidRPr="004D23B9">
        <w:rPr>
          <w:rFonts w:cs="Arial"/>
          <w:i/>
          <w:iCs/>
          <w:szCs w:val="20"/>
          <w:vertAlign w:val="subscript"/>
        </w:rPr>
        <w:t>t</w:t>
      </w:r>
      <w:r w:rsidRPr="004D23B9">
        <w:rPr>
          <w:rFonts w:cs="Arial"/>
          <w:szCs w:val="20"/>
        </w:rPr>
        <w:tab/>
        <w:t>=</w:t>
      </w:r>
      <w:r w:rsidRPr="004D23B9">
        <w:rPr>
          <w:rFonts w:cs="Arial"/>
          <w:szCs w:val="20"/>
        </w:rPr>
        <w:tab/>
        <w:t>total volume of runoff (MG);</w:t>
      </w:r>
    </w:p>
    <w:p w:rsidR="00E17BF3" w:rsidRPr="004D23B9" w:rsidRDefault="00E17BF3">
      <w:pPr>
        <w:pStyle w:val="BodyText0"/>
        <w:tabs>
          <w:tab w:val="center" w:pos="1080"/>
          <w:tab w:val="center" w:pos="1620"/>
          <w:tab w:val="left" w:pos="1980"/>
        </w:tabs>
        <w:rPr>
          <w:rFonts w:cs="Arial"/>
          <w:szCs w:val="20"/>
        </w:rPr>
      </w:pPr>
      <w:r w:rsidRPr="004D23B9">
        <w:rPr>
          <w:rFonts w:cs="Arial"/>
          <w:szCs w:val="20"/>
        </w:rPr>
        <w:tab/>
      </w:r>
      <w:r w:rsidRPr="004D23B9">
        <w:rPr>
          <w:rFonts w:cs="Arial"/>
          <w:i/>
          <w:iCs/>
          <w:szCs w:val="20"/>
        </w:rPr>
        <w:t>Q</w:t>
      </w:r>
      <w:r w:rsidRPr="004D23B9">
        <w:rPr>
          <w:rFonts w:cs="Arial"/>
          <w:i/>
          <w:iCs/>
          <w:szCs w:val="20"/>
          <w:vertAlign w:val="subscript"/>
        </w:rPr>
        <w:t>r</w:t>
      </w:r>
      <w:r w:rsidRPr="004D23B9">
        <w:rPr>
          <w:rFonts w:cs="Arial"/>
          <w:szCs w:val="20"/>
        </w:rPr>
        <w:tab/>
        <w:t>=</w:t>
      </w:r>
      <w:r w:rsidRPr="004D23B9">
        <w:rPr>
          <w:rFonts w:cs="Arial"/>
          <w:szCs w:val="20"/>
        </w:rPr>
        <w:tab/>
        <w:t>hydraulic control or pump station capacity (MGD); and</w:t>
      </w:r>
    </w:p>
    <w:p w:rsidR="00E17BF3" w:rsidRPr="004D23B9" w:rsidRDefault="00E17BF3">
      <w:pPr>
        <w:pStyle w:val="BodyText0"/>
        <w:tabs>
          <w:tab w:val="center" w:pos="1080"/>
          <w:tab w:val="center" w:pos="1620"/>
          <w:tab w:val="left" w:pos="1980"/>
        </w:tabs>
        <w:rPr>
          <w:rFonts w:cs="Arial"/>
          <w:szCs w:val="20"/>
        </w:rPr>
      </w:pPr>
      <w:r w:rsidRPr="004D23B9">
        <w:rPr>
          <w:rFonts w:cs="Arial"/>
          <w:szCs w:val="20"/>
        </w:rPr>
        <w:tab/>
      </w:r>
      <w:r w:rsidRPr="004D23B9">
        <w:rPr>
          <w:rFonts w:cs="Arial"/>
          <w:i/>
          <w:iCs/>
          <w:szCs w:val="20"/>
        </w:rPr>
        <w:t>Q</w:t>
      </w:r>
      <w:r w:rsidRPr="004D23B9">
        <w:rPr>
          <w:rFonts w:cs="Arial"/>
          <w:i/>
          <w:iCs/>
          <w:szCs w:val="20"/>
          <w:vertAlign w:val="subscript"/>
        </w:rPr>
        <w:t>p</w:t>
      </w:r>
      <w:r w:rsidRPr="004D23B9">
        <w:rPr>
          <w:rFonts w:cs="Arial"/>
          <w:szCs w:val="20"/>
        </w:rPr>
        <w:tab/>
        <w:t>=</w:t>
      </w:r>
      <w:r w:rsidRPr="004D23B9">
        <w:rPr>
          <w:rFonts w:cs="Arial"/>
          <w:szCs w:val="20"/>
        </w:rPr>
        <w:tab/>
        <w:t>peak runoff rate (MGD).</w:t>
      </w:r>
    </w:p>
    <w:p w:rsidR="00E17BF3" w:rsidRPr="004D23B9" w:rsidRDefault="00E17BF3" w:rsidP="004D23B9">
      <w:pPr>
        <w:pStyle w:val="BodyText"/>
        <w:rPr>
          <w:szCs w:val="20"/>
        </w:rPr>
      </w:pPr>
      <w:r w:rsidRPr="004D23B9">
        <w:rPr>
          <w:szCs w:val="20"/>
        </w:rPr>
        <w:t>The overflow fraction of combined sewage in Schedule 4</w:t>
      </w:r>
      <w:r w:rsidR="00FC3334" w:rsidRPr="004D23B9">
        <w:rPr>
          <w:szCs w:val="20"/>
        </w:rPr>
        <w:t>-</w:t>
      </w:r>
      <w:r w:rsidRPr="004D23B9">
        <w:rPr>
          <w:szCs w:val="20"/>
        </w:rPr>
        <w:t>CSO Volume is defined as the ratio of overflow volume to total volume, and is calculated as follows:</w:t>
      </w:r>
    </w:p>
    <w:p w:rsidR="00E17BF3" w:rsidRPr="004D23B9" w:rsidRDefault="00C44873">
      <w:pPr>
        <w:pStyle w:val="BodyText0"/>
        <w:tabs>
          <w:tab w:val="center" w:pos="7920"/>
        </w:tabs>
        <w:ind w:left="1080"/>
        <w:rPr>
          <w:rFonts w:cs="Arial"/>
          <w:szCs w:val="20"/>
        </w:rPr>
      </w:pPr>
      <w:r w:rsidRPr="004D23B9">
        <w:rPr>
          <w:rFonts w:cs="Arial"/>
          <w:position w:val="-34"/>
          <w:szCs w:val="20"/>
        </w:rPr>
        <w:object w:dxaOrig="1460" w:dyaOrig="859">
          <v:shape id="_x0000_i1030" type="#_x0000_t75" style="width:72.75pt;height:42.75pt" o:ole="">
            <v:imagedata r:id="rId94" o:title=""/>
          </v:shape>
          <o:OLEObject Type="Embed" ProgID="Equation.3" ShapeID="_x0000_i1030" DrawAspect="Content" ObjectID="_1542086701" r:id="rId95"/>
        </w:object>
      </w:r>
      <w:r w:rsidR="00E17BF3" w:rsidRPr="004D23B9">
        <w:rPr>
          <w:rFonts w:cs="Arial"/>
          <w:szCs w:val="20"/>
        </w:rPr>
        <w:tab/>
        <w:t>(2)</w:t>
      </w:r>
    </w:p>
    <w:p w:rsidR="00E17BF3" w:rsidRPr="004D23B9" w:rsidRDefault="00E17BF3">
      <w:pPr>
        <w:pStyle w:val="BodyText0"/>
        <w:tabs>
          <w:tab w:val="center" w:pos="1080"/>
          <w:tab w:val="center" w:pos="1620"/>
          <w:tab w:val="left" w:pos="1980"/>
        </w:tabs>
        <w:rPr>
          <w:rFonts w:cs="Arial"/>
          <w:szCs w:val="20"/>
        </w:rPr>
      </w:pPr>
      <w:r w:rsidRPr="004D23B9">
        <w:rPr>
          <w:rFonts w:cs="Arial"/>
          <w:szCs w:val="20"/>
        </w:rPr>
        <w:t>where</w:t>
      </w:r>
      <w:r w:rsidRPr="004D23B9">
        <w:rPr>
          <w:rFonts w:cs="Arial"/>
          <w:szCs w:val="20"/>
        </w:rPr>
        <w:tab/>
      </w:r>
      <w:r w:rsidRPr="004D23B9">
        <w:rPr>
          <w:rFonts w:cs="Arial"/>
          <w:i/>
          <w:iCs/>
          <w:szCs w:val="20"/>
        </w:rPr>
        <w:t>f</w:t>
      </w:r>
      <w:r w:rsidRPr="004D23B9">
        <w:rPr>
          <w:rFonts w:cs="Arial"/>
          <w:i/>
          <w:iCs/>
          <w:szCs w:val="20"/>
          <w:vertAlign w:val="subscript"/>
        </w:rPr>
        <w:t>o</w:t>
      </w:r>
      <w:r w:rsidRPr="004D23B9">
        <w:rPr>
          <w:rFonts w:cs="Arial"/>
          <w:szCs w:val="20"/>
        </w:rPr>
        <w:tab/>
        <w:t>=</w:t>
      </w:r>
      <w:r w:rsidRPr="004D23B9">
        <w:rPr>
          <w:rFonts w:cs="Arial"/>
          <w:szCs w:val="20"/>
        </w:rPr>
        <w:tab/>
        <w:t>overflow fraction of combined sewage [--].</w:t>
      </w:r>
    </w:p>
    <w:p w:rsidR="00E17BF3" w:rsidRPr="004D23B9" w:rsidRDefault="00E17BF3">
      <w:pPr>
        <w:pStyle w:val="BodyText0"/>
        <w:rPr>
          <w:rFonts w:cs="Arial"/>
          <w:szCs w:val="20"/>
        </w:rPr>
      </w:pPr>
      <w:r w:rsidRPr="004D23B9">
        <w:rPr>
          <w:rFonts w:cs="Arial"/>
          <w:szCs w:val="20"/>
        </w:rPr>
        <w:t>The actual overflow volume is then computed as follows:</w:t>
      </w:r>
    </w:p>
    <w:p w:rsidR="00E17BF3" w:rsidRPr="004D23B9" w:rsidRDefault="00E17BF3">
      <w:pPr>
        <w:pStyle w:val="BodyText0"/>
        <w:tabs>
          <w:tab w:val="center" w:pos="1620"/>
          <w:tab w:val="left" w:pos="1980"/>
          <w:tab w:val="center" w:pos="7920"/>
        </w:tabs>
        <w:ind w:left="1080"/>
        <w:rPr>
          <w:rFonts w:cs="Arial"/>
          <w:szCs w:val="20"/>
        </w:rPr>
      </w:pPr>
      <w:r w:rsidRPr="004D23B9">
        <w:rPr>
          <w:rFonts w:cs="Arial"/>
          <w:i/>
          <w:iCs/>
          <w:szCs w:val="20"/>
        </w:rPr>
        <w:t>V</w:t>
      </w:r>
      <w:r w:rsidRPr="004D23B9">
        <w:rPr>
          <w:rFonts w:cs="Arial"/>
          <w:i/>
          <w:iCs/>
          <w:szCs w:val="20"/>
          <w:vertAlign w:val="subscript"/>
        </w:rPr>
        <w:t>o</w:t>
      </w:r>
      <w:r w:rsidRPr="004D23B9">
        <w:rPr>
          <w:rFonts w:cs="Arial"/>
          <w:szCs w:val="20"/>
        </w:rPr>
        <w:tab/>
        <w:t>=</w:t>
      </w:r>
      <w:r w:rsidRPr="004D23B9">
        <w:rPr>
          <w:rFonts w:cs="Arial"/>
          <w:szCs w:val="20"/>
        </w:rPr>
        <w:tab/>
      </w:r>
      <w:r w:rsidRPr="004D23B9">
        <w:rPr>
          <w:rFonts w:cs="Arial"/>
          <w:i/>
          <w:iCs/>
          <w:szCs w:val="20"/>
        </w:rPr>
        <w:t>f</w:t>
      </w:r>
      <w:r w:rsidRPr="004D23B9">
        <w:rPr>
          <w:rFonts w:cs="Arial"/>
          <w:i/>
          <w:iCs/>
          <w:szCs w:val="20"/>
          <w:vertAlign w:val="subscript"/>
        </w:rPr>
        <w:t>o</w:t>
      </w:r>
      <w:r w:rsidR="00B6221B" w:rsidRPr="004D23B9">
        <w:rPr>
          <w:rFonts w:cs="Arial"/>
          <w:i/>
          <w:iCs/>
          <w:szCs w:val="20"/>
          <w:vertAlign w:val="subscript"/>
        </w:rPr>
        <w:t xml:space="preserve"> </w:t>
      </w:r>
      <w:r w:rsidR="00B6221B" w:rsidRPr="004D23B9">
        <w:rPr>
          <w:i/>
          <w:iCs/>
          <w:szCs w:val="20"/>
        </w:rPr>
        <w:t xml:space="preserve">× </w:t>
      </w:r>
      <w:r w:rsidRPr="004D23B9">
        <w:rPr>
          <w:rFonts w:cs="Arial"/>
          <w:i/>
          <w:iCs/>
          <w:szCs w:val="20"/>
        </w:rPr>
        <w:t>V</w:t>
      </w:r>
      <w:r w:rsidRPr="004D23B9">
        <w:rPr>
          <w:rFonts w:cs="Arial"/>
          <w:i/>
          <w:iCs/>
          <w:szCs w:val="20"/>
          <w:vertAlign w:val="subscript"/>
        </w:rPr>
        <w:t>t</w:t>
      </w:r>
      <w:r w:rsidRPr="004D23B9">
        <w:rPr>
          <w:rFonts w:cs="Arial"/>
          <w:szCs w:val="20"/>
        </w:rPr>
        <w:tab/>
        <w:t>(3)</w:t>
      </w:r>
    </w:p>
    <w:p w:rsidR="0062037C" w:rsidRDefault="00E17BF3" w:rsidP="004D23B9">
      <w:pPr>
        <w:pStyle w:val="BodyText"/>
      </w:pPr>
      <w:r>
        <w:t xml:space="preserve">The situation from which Equation 1 was derived is depicted in Figure </w:t>
      </w:r>
      <w:r w:rsidR="00AD7FEB">
        <w:t>B-</w:t>
      </w:r>
      <w:r>
        <w:t xml:space="preserve">1. Empirical studies show that actual runoff hydrographs are likely to be shaped more </w:t>
      </w:r>
      <w:r w:rsidRPr="004D23B9">
        <w:rPr>
          <w:rStyle w:val="italic"/>
        </w:rPr>
        <w:t>concave up</w:t>
      </w:r>
      <w:r>
        <w:t xml:space="preserve"> relative to the triangular assumption, so that the fraction of overflow volume would be less than that predicted with Equation 1. To test this, the RUNOFF block within the SWMM Model was used to generate runoff hydrographs from design storms of various lengths and for a variety of catchment characteristics. A series of fractional overflow volumes were then computed from the resulting hydrographs by varying the hydraulic control flow rate, and the fractional volumes were compared with Equation 1. Three sets of catchments (designated as set A, set B, and set C) were used. These catchments represent a wide range of CSO sub</w:t>
      </w:r>
      <w:r w:rsidR="008853EF">
        <w:t>-</w:t>
      </w:r>
      <w:r>
        <w:t xml:space="preserve">sewershed conditions and are representative of the conditions that would typically be found in a CSO community. Set A consisted of 161 catchments with areas ranging from 2.7 to 174 acres, and ground slopes ranging from 0.0002 to 0.0173. Set B consisted of 161 catchments with areas ranging from 0.3 to 37 acres, and ground slopes ranging from 0.0024 to 0.129. Set C consisted of 101 catchments with areas ranging from 16 to 4630 acres, and ground slopes ranging from 0.004 to 0.100. The results are depicted in Figure </w:t>
      </w:r>
      <w:r w:rsidR="00AD7FEB">
        <w:t>B-</w:t>
      </w:r>
      <w:r>
        <w:t>2, which shows that the observed ratios of overflow volume (represented by the individual points) are below the predicted ratios of overflow volume for all regulator flow/peak flow ratios (represented by the solid line)</w:t>
      </w:r>
      <w:r w:rsidR="0043213D">
        <w:t xml:space="preserve">. </w:t>
      </w:r>
      <w:r>
        <w:t xml:space="preserve">This suggests that </w:t>
      </w:r>
      <w:r w:rsidR="008853EF">
        <w:t>using</w:t>
      </w:r>
      <w:r>
        <w:t xml:space="preserve"> Equation 1 will provide conservative estimates of the volume of overflow at a CSO hydraulic control</w:t>
      </w:r>
      <w:r w:rsidR="0062037C">
        <w:t>.</w:t>
      </w:r>
    </w:p>
    <w:p w:rsidR="00B86CA6" w:rsidRDefault="00B86CA6" w:rsidP="004D23B9">
      <w:pPr>
        <w:pStyle w:val="BodyText"/>
      </w:pPr>
      <w:r>
        <w:t xml:space="preserve">Note that the model results from this test are dependent on the assumed shape of the design storm hyetograph. This test and the SWMM Model application were based on the third quartile distribution of heavy rainfall at a point, taken from Table 10 of </w:t>
      </w:r>
      <w:r w:rsidRPr="004D23B9">
        <w:rPr>
          <w:rStyle w:val="italic"/>
        </w:rPr>
        <w:t>Rainfall Frequency Atlas of the Midwest</w:t>
      </w:r>
      <w:r>
        <w:t xml:space="preserve"> (</w:t>
      </w:r>
      <w:r w:rsidRPr="00B86CA6">
        <w:t>Huff and Angel 1992</w:t>
      </w:r>
      <w:r w:rsidRPr="00B86CA6">
        <w:rPr>
          <w:rStyle w:val="FootnoteReference"/>
          <w:sz w:val="22"/>
          <w:szCs w:val="22"/>
        </w:rPr>
        <w:footnoteReference w:id="2"/>
      </w:r>
      <w:r w:rsidRPr="00B86CA6">
        <w:t>).</w:t>
      </w:r>
      <w:r>
        <w:t xml:space="preserve"> Use of rainfall at a point was considered appropriate for the relatively small sewersheds of Green LTCP-EZ permittees (less than 1,000 acres). The third quartile distribution is specified for storms of 12 to 24 hours.</w:t>
      </w:r>
    </w:p>
    <w:p w:rsidR="00E17BF3" w:rsidRPr="00163031" w:rsidRDefault="00E17BF3" w:rsidP="004D23B9">
      <w:pPr>
        <w:pStyle w:val="Heading3"/>
      </w:pPr>
      <w:bookmarkStart w:id="301" w:name="_Toc244324737"/>
      <w:bookmarkStart w:id="302" w:name="_Toc244326385"/>
      <w:bookmarkStart w:id="303" w:name="_Toc244332006"/>
      <w:bookmarkStart w:id="304" w:name="_Toc244334894"/>
      <w:r w:rsidRPr="00163031">
        <w:t>Diversion Fraction of Combined Sewage</w:t>
      </w:r>
      <w:bookmarkEnd w:id="301"/>
      <w:bookmarkEnd w:id="302"/>
      <w:bookmarkEnd w:id="303"/>
      <w:bookmarkEnd w:id="304"/>
    </w:p>
    <w:p w:rsidR="00E17BF3" w:rsidRDefault="00E17BF3" w:rsidP="004D23B9">
      <w:pPr>
        <w:pStyle w:val="BodyText"/>
      </w:pPr>
      <w:r>
        <w:t>It is intuitive that the volume of runoff diverted to the interceptor and the WWTP is the difference between the total volume of runoff and the volume that overflows. However, if the estimate of overflow volume is conservatively high (using Equation 1), calculating diversion by subtraction (that is, 1</w:t>
      </w:r>
      <w:r w:rsidR="008853EF">
        <w:t xml:space="preserve"> – </w:t>
      </w:r>
      <w:r>
        <w:t xml:space="preserve">Equation 1) will tend to underestimate the volume diverted. An alternate approach called the Hyetograph Approach was developed to determine a better and more conservative estimate of the fraction of runoff diverted to the interceptor and the WWTP. The Hyetograph Approach is also based on the ratio of hydraulic control capacity to peak runoff rate. It is recognized that a small degree of </w:t>
      </w:r>
      <w:r w:rsidRPr="004D23B9">
        <w:rPr>
          <w:rStyle w:val="italic"/>
        </w:rPr>
        <w:t>double counting</w:t>
      </w:r>
      <w:r>
        <w:t xml:space="preserve"> occurs when the two approaches are used together. That is, the total estimated overflow plus the total estimated conveyance slightly exceeds the total runoff plus dry weather sanitary flow. This is acceptable, however, in that it provides a conservative estimate for both quantities, rather than forcing one quantity to be conservative at the expense of the other.</w:t>
      </w:r>
    </w:p>
    <w:p w:rsidR="00E17BF3" w:rsidRDefault="00E17BF3" w:rsidP="004D23B9">
      <w:pPr>
        <w:pStyle w:val="BodyText"/>
      </w:pPr>
      <w:r>
        <w:t xml:space="preserve">The Hyetograph Approach assumes that the runoff hydrograph has the same shape as the rainfall hyetograph, and that the total volume diverted is simply the sum of the volumes less than </w:t>
      </w:r>
      <w:r w:rsidRPr="00B64EF9">
        <w:rPr>
          <w:rStyle w:val="italic"/>
        </w:rPr>
        <w:t xml:space="preserve">Qr </w:t>
      </w:r>
      <w:r>
        <w:rPr>
          <w:iCs/>
        </w:rPr>
        <w:t>added up over the course of the storm</w:t>
      </w:r>
      <w:r>
        <w:t xml:space="preserve">. This concept is graphically depicted in Figure </w:t>
      </w:r>
      <w:r w:rsidR="00AD7FEB">
        <w:t>B-</w:t>
      </w:r>
      <w:r>
        <w:t xml:space="preserve">3, and it was tested with a simple spreadsheet model. The hyetograph is again the third quartile distribution of heavy rainfall at a point. Fractional volumes were quantified with a simple spreadsheet model for a range of </w:t>
      </w:r>
      <w:r w:rsidRPr="00B64EF9">
        <w:rPr>
          <w:rStyle w:val="italic"/>
        </w:rPr>
        <w:t>Qr/Qp</w:t>
      </w:r>
      <w:r>
        <w:t xml:space="preserve"> ratios, and th</w:t>
      </w:r>
      <w:r w:rsidR="008853EF">
        <w:t>o</w:t>
      </w:r>
      <w:r>
        <w:t xml:space="preserve">se results are shown in Figure </w:t>
      </w:r>
      <w:r w:rsidR="00AD7FEB">
        <w:t>B-</w:t>
      </w:r>
      <w:r>
        <w:t xml:space="preserve">4 as the Hyetograph Approach. Rather than developing a regression equation from the results, a lookup table was compiled for inclusion in the </w:t>
      </w:r>
      <w:r w:rsidR="00D55649">
        <w:t xml:space="preserve">Green </w:t>
      </w:r>
      <w:r>
        <w:t xml:space="preserve">LTCP-EZ form and reproduced here as Table </w:t>
      </w:r>
      <w:r w:rsidR="00AD7FEB">
        <w:t>B-</w:t>
      </w:r>
      <w:r>
        <w:t xml:space="preserve">1. For comparison, Figure </w:t>
      </w:r>
      <w:r w:rsidR="00AD7FEB">
        <w:t>B-</w:t>
      </w:r>
      <w:r>
        <w:t xml:space="preserve">4 also shows the diverted fraction of runoff that would be calculated on </w:t>
      </w:r>
      <w:r w:rsidR="009C4534" w:rsidRPr="009C4534">
        <w:t xml:space="preserve">the basis of </w:t>
      </w:r>
      <w:r>
        <w:t>1</w:t>
      </w:r>
      <w:r w:rsidR="008853EF">
        <w:t xml:space="preserve"> –</w:t>
      </w:r>
      <w:r>
        <w:t xml:space="preserve"> Equation 1.</w:t>
      </w:r>
    </w:p>
    <w:p w:rsidR="00E17BF3" w:rsidRDefault="00E17BF3" w:rsidP="004D23B9">
      <w:pPr>
        <w:pStyle w:val="Heading3"/>
      </w:pPr>
      <w:bookmarkStart w:id="305" w:name="_Toc244324738"/>
      <w:bookmarkStart w:id="306" w:name="_Toc244326386"/>
      <w:bookmarkStart w:id="307" w:name="_Toc244332007"/>
      <w:bookmarkStart w:id="308" w:name="_Toc244334895"/>
      <w:r>
        <w:t>Fraction of Combined Sewage Untreated at WWTP</w:t>
      </w:r>
      <w:bookmarkEnd w:id="305"/>
      <w:bookmarkEnd w:id="306"/>
      <w:bookmarkEnd w:id="307"/>
      <w:bookmarkEnd w:id="308"/>
    </w:p>
    <w:p w:rsidR="00E17BF3" w:rsidRDefault="00E17BF3" w:rsidP="004D23B9">
      <w:pPr>
        <w:pStyle w:val="BodyText"/>
      </w:pPr>
      <w:r>
        <w:t>Similar to what occurs at a CSO hydraulic control, the fraction of combined sewage that overflows at the WWTP is dependent on the peak rate of sewage delivered to the WWTP and the primary treatment capacity at the WWTP. The estimate of combined sewage that overflows or is untreated at the WWTP (</w:t>
      </w:r>
      <w:r w:rsidRPr="00B64EF9">
        <w:rPr>
          <w:rStyle w:val="italic"/>
        </w:rPr>
        <w:t>Vo</w:t>
      </w:r>
      <w:r>
        <w:t xml:space="preserve">) is also based on Equation 1 but with </w:t>
      </w:r>
      <w:r w:rsidRPr="00B64EF9">
        <w:rPr>
          <w:rStyle w:val="italic"/>
        </w:rPr>
        <w:t xml:space="preserve">Vt </w:t>
      </w:r>
      <w:r>
        <w:rPr>
          <w:bCs/>
        </w:rPr>
        <w:t xml:space="preserve">equal to the total volume of sewage conveyed to the WWTP during the 24-hour rainfall event, </w:t>
      </w:r>
      <w:r w:rsidRPr="00B64EF9">
        <w:rPr>
          <w:rStyle w:val="italic"/>
        </w:rPr>
        <w:t xml:space="preserve">Qr </w:t>
      </w:r>
      <w:r>
        <w:rPr>
          <w:bCs/>
        </w:rPr>
        <w:t>equal to</w:t>
      </w:r>
      <w:r w:rsidRPr="00A64758">
        <w:rPr>
          <w:rStyle w:val="Bold"/>
        </w:rPr>
        <w:t xml:space="preserve"> </w:t>
      </w:r>
      <w:r>
        <w:t xml:space="preserve">primary treatment capacity at the WWTP, and </w:t>
      </w:r>
      <w:r w:rsidRPr="00B64EF9">
        <w:rPr>
          <w:rStyle w:val="italic"/>
        </w:rPr>
        <w:t>Qp</w:t>
      </w:r>
      <w:r>
        <w:t xml:space="preserve"> equal to the peak rate of sewage delivered to the WWTP. Use of Equation 1 for this estimation is also thought to be conservative in that it might slightly overestimate rather than underestimate the volume of combined sewage untreated at the WWTP.</w:t>
      </w:r>
    </w:p>
    <w:p w:rsidR="007E4033" w:rsidRDefault="007E4033" w:rsidP="004D23B9">
      <w:pPr>
        <w:pStyle w:val="BodyText"/>
      </w:pPr>
    </w:p>
    <w:p w:rsidR="007E4033" w:rsidRDefault="007E4033" w:rsidP="004D23B9">
      <w:pPr>
        <w:pStyle w:val="BodyText"/>
      </w:pPr>
    </w:p>
    <w:p w:rsidR="00E17BF3" w:rsidRDefault="00E17BF3">
      <w:pPr>
        <w:pStyle w:val="BodyText0"/>
        <w:tabs>
          <w:tab w:val="left" w:pos="1080"/>
        </w:tabs>
        <w:rPr>
          <w:rFonts w:cs="Arial"/>
          <w:b/>
          <w:bCs/>
          <w:sz w:val="22"/>
        </w:rPr>
      </w:pPr>
    </w:p>
    <w:p w:rsidR="00E17BF3" w:rsidRDefault="00430DFB">
      <w:pPr>
        <w:pStyle w:val="BodyText0"/>
        <w:rPr>
          <w:rFonts w:cs="Arial"/>
          <w:sz w:val="22"/>
          <w:szCs w:val="22"/>
        </w:rPr>
      </w:pPr>
      <w:r>
        <w:rPr>
          <w:rFonts w:cs="Arial"/>
          <w:noProof/>
        </w:rPr>
        <mc:AlternateContent>
          <mc:Choice Requires="wpg">
            <w:drawing>
              <wp:anchor distT="0" distB="0" distL="114300" distR="114300" simplePos="0" relativeHeight="251643392" behindDoc="0" locked="0" layoutInCell="1" allowOverlap="1">
                <wp:simplePos x="0" y="0"/>
                <wp:positionH relativeFrom="column">
                  <wp:posOffset>47625</wp:posOffset>
                </wp:positionH>
                <wp:positionV relativeFrom="paragraph">
                  <wp:posOffset>47625</wp:posOffset>
                </wp:positionV>
                <wp:extent cx="5229225" cy="3362325"/>
                <wp:effectExtent l="9525" t="9525" r="9525" b="9525"/>
                <wp:wrapNone/>
                <wp:docPr id="3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3362325"/>
                          <a:chOff x="795" y="1888"/>
                          <a:chExt cx="8235" cy="5295"/>
                        </a:xfrm>
                      </wpg:grpSpPr>
                      <wps:wsp>
                        <wps:cNvPr id="40" name="Rectangle 95"/>
                        <wps:cNvSpPr>
                          <a:spLocks noChangeArrowheads="1"/>
                        </wps:cNvSpPr>
                        <wps:spPr bwMode="auto">
                          <a:xfrm>
                            <a:off x="795" y="1888"/>
                            <a:ext cx="8235" cy="52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 name="Group 127"/>
                        <wpg:cNvGrpSpPr>
                          <a:grpSpLocks/>
                        </wpg:cNvGrpSpPr>
                        <wpg:grpSpPr bwMode="auto">
                          <a:xfrm>
                            <a:off x="1020" y="2758"/>
                            <a:ext cx="7875" cy="4066"/>
                            <a:chOff x="1020" y="2758"/>
                            <a:chExt cx="7875" cy="4066"/>
                          </a:xfrm>
                        </wpg:grpSpPr>
                        <wpg:grpSp>
                          <wpg:cNvPr id="42" name="Group 120"/>
                          <wpg:cNvGrpSpPr>
                            <a:grpSpLocks/>
                          </wpg:cNvGrpSpPr>
                          <wpg:grpSpPr bwMode="auto">
                            <a:xfrm>
                              <a:off x="1530" y="6073"/>
                              <a:ext cx="1200" cy="720"/>
                              <a:chOff x="1530" y="6073"/>
                              <a:chExt cx="1200" cy="720"/>
                            </a:xfrm>
                          </wpg:grpSpPr>
                          <wpg:grpSp>
                            <wpg:cNvPr id="43" name="Group 105"/>
                            <wpg:cNvGrpSpPr>
                              <a:grpSpLocks/>
                            </wpg:cNvGrpSpPr>
                            <wpg:grpSpPr bwMode="auto">
                              <a:xfrm>
                                <a:off x="1530" y="6073"/>
                                <a:ext cx="165" cy="720"/>
                                <a:chOff x="1530" y="6073"/>
                                <a:chExt cx="165" cy="720"/>
                              </a:xfrm>
                            </wpg:grpSpPr>
                            <wps:wsp>
                              <wps:cNvPr id="44" name="Line 102"/>
                              <wps:cNvCnPr>
                                <a:cxnSpLocks noChangeShapeType="1"/>
                              </wps:cNvCnPr>
                              <wps:spPr bwMode="auto">
                                <a:xfrm>
                                  <a:off x="1605" y="6178"/>
                                  <a:ext cx="1" cy="4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03"/>
                              <wps:cNvSpPr>
                                <a:spLocks/>
                              </wps:cNvSpPr>
                              <wps:spPr bwMode="auto">
                                <a:xfrm>
                                  <a:off x="1530" y="6073"/>
                                  <a:ext cx="165" cy="150"/>
                                </a:xfrm>
                                <a:custGeom>
                                  <a:avLst/>
                                  <a:gdLst>
                                    <a:gd name="T0" fmla="*/ 165 w 165"/>
                                    <a:gd name="T1" fmla="*/ 150 h 150"/>
                                    <a:gd name="T2" fmla="*/ 90 w 165"/>
                                    <a:gd name="T3" fmla="*/ 0 h 150"/>
                                    <a:gd name="T4" fmla="*/ 0 w 165"/>
                                    <a:gd name="T5" fmla="*/ 150 h 150"/>
                                    <a:gd name="T6" fmla="*/ 165 w 165"/>
                                    <a:gd name="T7" fmla="*/ 150 h 150"/>
                                  </a:gdLst>
                                  <a:ahLst/>
                                  <a:cxnLst>
                                    <a:cxn ang="0">
                                      <a:pos x="T0" y="T1"/>
                                    </a:cxn>
                                    <a:cxn ang="0">
                                      <a:pos x="T2" y="T3"/>
                                    </a:cxn>
                                    <a:cxn ang="0">
                                      <a:pos x="T4" y="T5"/>
                                    </a:cxn>
                                    <a:cxn ang="0">
                                      <a:pos x="T6" y="T7"/>
                                    </a:cxn>
                                  </a:cxnLst>
                                  <a:rect l="0" t="0" r="r" b="b"/>
                                  <a:pathLst>
                                    <a:path w="165" h="150">
                                      <a:moveTo>
                                        <a:pt x="165" y="150"/>
                                      </a:moveTo>
                                      <a:lnTo>
                                        <a:pt x="90" y="0"/>
                                      </a:lnTo>
                                      <a:lnTo>
                                        <a:pt x="0" y="150"/>
                                      </a:lnTo>
                                      <a:lnTo>
                                        <a:pt x="16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04"/>
                              <wps:cNvSpPr>
                                <a:spLocks/>
                              </wps:cNvSpPr>
                              <wps:spPr bwMode="auto">
                                <a:xfrm>
                                  <a:off x="1530" y="6628"/>
                                  <a:ext cx="165" cy="165"/>
                                </a:xfrm>
                                <a:custGeom>
                                  <a:avLst/>
                                  <a:gdLst>
                                    <a:gd name="T0" fmla="*/ 0 w 165"/>
                                    <a:gd name="T1" fmla="*/ 0 h 165"/>
                                    <a:gd name="T2" fmla="*/ 90 w 165"/>
                                    <a:gd name="T3" fmla="*/ 165 h 165"/>
                                    <a:gd name="T4" fmla="*/ 165 w 165"/>
                                    <a:gd name="T5" fmla="*/ 0 h 165"/>
                                    <a:gd name="T6" fmla="*/ 0 w 165"/>
                                    <a:gd name="T7" fmla="*/ 0 h 165"/>
                                  </a:gdLst>
                                  <a:ahLst/>
                                  <a:cxnLst>
                                    <a:cxn ang="0">
                                      <a:pos x="T0" y="T1"/>
                                    </a:cxn>
                                    <a:cxn ang="0">
                                      <a:pos x="T2" y="T3"/>
                                    </a:cxn>
                                    <a:cxn ang="0">
                                      <a:pos x="T4" y="T5"/>
                                    </a:cxn>
                                    <a:cxn ang="0">
                                      <a:pos x="T6" y="T7"/>
                                    </a:cxn>
                                  </a:cxnLst>
                                  <a:rect l="0" t="0" r="r" b="b"/>
                                  <a:pathLst>
                                    <a:path w="165" h="165">
                                      <a:moveTo>
                                        <a:pt x="0" y="0"/>
                                      </a:moveTo>
                                      <a:lnTo>
                                        <a:pt x="90" y="165"/>
                                      </a:lnTo>
                                      <a:lnTo>
                                        <a:pt x="16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 name="Rectangle 107"/>
                            <wps:cNvSpPr>
                              <a:spLocks noChangeArrowheads="1"/>
                            </wps:cNvSpPr>
                            <wps:spPr bwMode="auto">
                              <a:xfrm>
                                <a:off x="1725" y="6283"/>
                                <a:ext cx="100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9D3" w:rsidRDefault="00E659D3">
                                  <w:r>
                                    <w:rPr>
                                      <w:rFonts w:cs="Arial"/>
                                      <w:b/>
                                      <w:bCs/>
                                      <w:color w:val="000000"/>
                                      <w:sz w:val="16"/>
                                      <w:szCs w:val="16"/>
                                    </w:rPr>
                                    <w:t>Q</w:t>
                                  </w:r>
                                  <w:r>
                                    <w:rPr>
                                      <w:rFonts w:cs="Arial"/>
                                      <w:b/>
                                      <w:bCs/>
                                      <w:color w:val="000000"/>
                                      <w:szCs w:val="16"/>
                                      <w:vertAlign w:val="subscript"/>
                                    </w:rPr>
                                    <w:t>regulator</w:t>
                                  </w:r>
                                </w:p>
                              </w:txbxContent>
                            </wps:txbx>
                            <wps:bodyPr rot="0" vert="horz" wrap="square" lIns="0" tIns="0" rIns="0" bIns="0" anchor="t" anchorCtr="0" upright="1">
                              <a:noAutofit/>
                            </wps:bodyPr>
                          </wps:wsp>
                        </wpg:grpSp>
                        <wpg:grpSp>
                          <wpg:cNvPr id="48" name="Group 125"/>
                          <wpg:cNvGrpSpPr>
                            <a:grpSpLocks/>
                          </wpg:cNvGrpSpPr>
                          <wpg:grpSpPr bwMode="auto">
                            <a:xfrm>
                              <a:off x="1020" y="2758"/>
                              <a:ext cx="7875" cy="4066"/>
                              <a:chOff x="1020" y="2758"/>
                              <a:chExt cx="7875" cy="4066"/>
                            </a:xfrm>
                          </wpg:grpSpPr>
                          <wps:wsp>
                            <wps:cNvPr id="49" name="Line 69"/>
                            <wps:cNvCnPr>
                              <a:cxnSpLocks noChangeShapeType="1"/>
                            </wps:cNvCnPr>
                            <wps:spPr bwMode="auto">
                              <a:xfrm>
                                <a:off x="1020" y="6823"/>
                                <a:ext cx="787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50" name="Group 124"/>
                            <wpg:cNvGrpSpPr>
                              <a:grpSpLocks/>
                            </wpg:cNvGrpSpPr>
                            <wpg:grpSpPr bwMode="auto">
                              <a:xfrm>
                                <a:off x="1245" y="2758"/>
                                <a:ext cx="7110" cy="4065"/>
                                <a:chOff x="1245" y="2758"/>
                                <a:chExt cx="7110" cy="4065"/>
                              </a:xfrm>
                            </wpg:grpSpPr>
                            <wpg:grpSp>
                              <wpg:cNvPr id="51" name="Group 119"/>
                              <wpg:cNvGrpSpPr>
                                <a:grpSpLocks/>
                              </wpg:cNvGrpSpPr>
                              <wpg:grpSpPr bwMode="auto">
                                <a:xfrm>
                                  <a:off x="2715" y="2833"/>
                                  <a:ext cx="5055" cy="3990"/>
                                  <a:chOff x="2715" y="2833"/>
                                  <a:chExt cx="5055" cy="3990"/>
                                </a:xfrm>
                              </wpg:grpSpPr>
                              <wpg:grpSp>
                                <wpg:cNvPr id="52" name="Group 118"/>
                                <wpg:cNvGrpSpPr>
                                  <a:grpSpLocks/>
                                </wpg:cNvGrpSpPr>
                                <wpg:grpSpPr bwMode="auto">
                                  <a:xfrm>
                                    <a:off x="2715" y="2833"/>
                                    <a:ext cx="5055" cy="3990"/>
                                    <a:chOff x="2715" y="2833"/>
                                    <a:chExt cx="5055" cy="3990"/>
                                  </a:xfrm>
                                </wpg:grpSpPr>
                                <wps:wsp>
                                  <wps:cNvPr id="53" name="Line 70"/>
                                  <wps:cNvCnPr>
                                    <a:cxnSpLocks noChangeShapeType="1"/>
                                  </wps:cNvCnPr>
                                  <wps:spPr bwMode="auto">
                                    <a:xfrm flipV="1">
                                      <a:off x="2715" y="2833"/>
                                      <a:ext cx="1680" cy="39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Line 71"/>
                                  <wps:cNvCnPr>
                                    <a:cxnSpLocks noChangeShapeType="1"/>
                                  </wps:cNvCnPr>
                                  <wps:spPr bwMode="auto">
                                    <a:xfrm>
                                      <a:off x="4395" y="2833"/>
                                      <a:ext cx="3375" cy="39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5" name="Line 93"/>
                                <wps:cNvCnPr>
                                  <a:cxnSpLocks noChangeShapeType="1"/>
                                </wps:cNvCnPr>
                                <wps:spPr bwMode="auto">
                                  <a:xfrm flipV="1">
                                    <a:off x="4395" y="2833"/>
                                    <a:ext cx="1" cy="3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123"/>
                              <wpg:cNvGrpSpPr>
                                <a:grpSpLocks/>
                              </wpg:cNvGrpSpPr>
                              <wpg:grpSpPr bwMode="auto">
                                <a:xfrm>
                                  <a:off x="1245" y="2758"/>
                                  <a:ext cx="7110" cy="4005"/>
                                  <a:chOff x="1245" y="2758"/>
                                  <a:chExt cx="7110" cy="4005"/>
                                </a:xfrm>
                              </wpg:grpSpPr>
                              <wpg:grpSp>
                                <wpg:cNvPr id="57" name="Group 117"/>
                                <wpg:cNvGrpSpPr>
                                  <a:grpSpLocks/>
                                </wpg:cNvGrpSpPr>
                                <wpg:grpSpPr bwMode="auto">
                                  <a:xfrm>
                                    <a:off x="1575" y="6013"/>
                                    <a:ext cx="6780" cy="30"/>
                                    <a:chOff x="1575" y="6013"/>
                                    <a:chExt cx="6780" cy="30"/>
                                  </a:xfrm>
                                </wpg:grpSpPr>
                                <wps:wsp>
                                  <wps:cNvPr id="58" name="Rectangle 72"/>
                                  <wps:cNvSpPr>
                                    <a:spLocks noChangeArrowheads="1"/>
                                  </wps:cNvSpPr>
                                  <wps:spPr bwMode="auto">
                                    <a:xfrm>
                                      <a:off x="157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73"/>
                                  <wps:cNvSpPr>
                                    <a:spLocks noChangeArrowheads="1"/>
                                  </wps:cNvSpPr>
                                  <wps:spPr bwMode="auto">
                                    <a:xfrm>
                                      <a:off x="190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74"/>
                                  <wps:cNvSpPr>
                                    <a:spLocks noChangeArrowheads="1"/>
                                  </wps:cNvSpPr>
                                  <wps:spPr bwMode="auto">
                                    <a:xfrm>
                                      <a:off x="223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75"/>
                                  <wps:cNvSpPr>
                                    <a:spLocks noChangeArrowheads="1"/>
                                  </wps:cNvSpPr>
                                  <wps:spPr bwMode="auto">
                                    <a:xfrm>
                                      <a:off x="256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76"/>
                                  <wps:cNvSpPr>
                                    <a:spLocks noChangeArrowheads="1"/>
                                  </wps:cNvSpPr>
                                  <wps:spPr bwMode="auto">
                                    <a:xfrm>
                                      <a:off x="289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77"/>
                                  <wps:cNvSpPr>
                                    <a:spLocks noChangeArrowheads="1"/>
                                  </wps:cNvSpPr>
                                  <wps:spPr bwMode="auto">
                                    <a:xfrm>
                                      <a:off x="322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78"/>
                                  <wps:cNvSpPr>
                                    <a:spLocks noChangeArrowheads="1"/>
                                  </wps:cNvSpPr>
                                  <wps:spPr bwMode="auto">
                                    <a:xfrm>
                                      <a:off x="355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79"/>
                                  <wps:cNvSpPr>
                                    <a:spLocks noChangeArrowheads="1"/>
                                  </wps:cNvSpPr>
                                  <wps:spPr bwMode="auto">
                                    <a:xfrm>
                                      <a:off x="388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80"/>
                                  <wps:cNvSpPr>
                                    <a:spLocks noChangeArrowheads="1"/>
                                  </wps:cNvSpPr>
                                  <wps:spPr bwMode="auto">
                                    <a:xfrm>
                                      <a:off x="421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81"/>
                                  <wps:cNvSpPr>
                                    <a:spLocks noChangeArrowheads="1"/>
                                  </wps:cNvSpPr>
                                  <wps:spPr bwMode="auto">
                                    <a:xfrm>
                                      <a:off x="454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82"/>
                                  <wps:cNvSpPr>
                                    <a:spLocks noChangeArrowheads="1"/>
                                  </wps:cNvSpPr>
                                  <wps:spPr bwMode="auto">
                                    <a:xfrm>
                                      <a:off x="487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83"/>
                                  <wps:cNvSpPr>
                                    <a:spLocks noChangeArrowheads="1"/>
                                  </wps:cNvSpPr>
                                  <wps:spPr bwMode="auto">
                                    <a:xfrm>
                                      <a:off x="520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84"/>
                                  <wps:cNvSpPr>
                                    <a:spLocks noChangeArrowheads="1"/>
                                  </wps:cNvSpPr>
                                  <wps:spPr bwMode="auto">
                                    <a:xfrm>
                                      <a:off x="553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85"/>
                                  <wps:cNvSpPr>
                                    <a:spLocks noChangeArrowheads="1"/>
                                  </wps:cNvSpPr>
                                  <wps:spPr bwMode="auto">
                                    <a:xfrm>
                                      <a:off x="586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86"/>
                                  <wps:cNvSpPr>
                                    <a:spLocks noChangeArrowheads="1"/>
                                  </wps:cNvSpPr>
                                  <wps:spPr bwMode="auto">
                                    <a:xfrm>
                                      <a:off x="619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87"/>
                                  <wps:cNvSpPr>
                                    <a:spLocks noChangeArrowheads="1"/>
                                  </wps:cNvSpPr>
                                  <wps:spPr bwMode="auto">
                                    <a:xfrm>
                                      <a:off x="652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88"/>
                                  <wps:cNvSpPr>
                                    <a:spLocks noChangeArrowheads="1"/>
                                  </wps:cNvSpPr>
                                  <wps:spPr bwMode="auto">
                                    <a:xfrm>
                                      <a:off x="685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89"/>
                                  <wps:cNvSpPr>
                                    <a:spLocks noChangeArrowheads="1"/>
                                  </wps:cNvSpPr>
                                  <wps:spPr bwMode="auto">
                                    <a:xfrm>
                                      <a:off x="718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90"/>
                                  <wps:cNvSpPr>
                                    <a:spLocks noChangeArrowheads="1"/>
                                  </wps:cNvSpPr>
                                  <wps:spPr bwMode="auto">
                                    <a:xfrm>
                                      <a:off x="751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91"/>
                                  <wps:cNvSpPr>
                                    <a:spLocks noChangeArrowheads="1"/>
                                  </wps:cNvSpPr>
                                  <wps:spPr bwMode="auto">
                                    <a:xfrm>
                                      <a:off x="7845" y="6013"/>
                                      <a:ext cx="21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92"/>
                                  <wps:cNvSpPr>
                                    <a:spLocks noChangeArrowheads="1"/>
                                  </wps:cNvSpPr>
                                  <wps:spPr bwMode="auto">
                                    <a:xfrm>
                                      <a:off x="8175" y="6013"/>
                                      <a:ext cx="18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47" name="Group 122"/>
                                <wpg:cNvGrpSpPr>
                                  <a:grpSpLocks/>
                                </wpg:cNvGrpSpPr>
                                <wpg:grpSpPr bwMode="auto">
                                  <a:xfrm>
                                    <a:off x="1245" y="2758"/>
                                    <a:ext cx="5790" cy="4005"/>
                                    <a:chOff x="1245" y="2758"/>
                                    <a:chExt cx="5790" cy="4005"/>
                                  </a:xfrm>
                                </wpg:grpSpPr>
                                <wpg:grpSp>
                                  <wpg:cNvPr id="348" name="Group 121"/>
                                  <wpg:cNvGrpSpPr>
                                    <a:grpSpLocks/>
                                  </wpg:cNvGrpSpPr>
                                  <wpg:grpSpPr bwMode="auto">
                                    <a:xfrm>
                                      <a:off x="1245" y="2833"/>
                                      <a:ext cx="3045" cy="3930"/>
                                      <a:chOff x="1245" y="2833"/>
                                      <a:chExt cx="3045" cy="3930"/>
                                    </a:xfrm>
                                  </wpg:grpSpPr>
                                  <wps:wsp>
                                    <wps:cNvPr id="349" name="Line 94"/>
                                    <wps:cNvCnPr>
                                      <a:cxnSpLocks noChangeShapeType="1"/>
                                    </wps:cNvCnPr>
                                    <wps:spPr bwMode="auto">
                                      <a:xfrm>
                                        <a:off x="1245" y="2833"/>
                                        <a:ext cx="30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0" name="Group 99"/>
                                    <wpg:cNvGrpSpPr>
                                      <a:grpSpLocks/>
                                    </wpg:cNvGrpSpPr>
                                    <wpg:grpSpPr bwMode="auto">
                                      <a:xfrm>
                                        <a:off x="1245" y="2863"/>
                                        <a:ext cx="165" cy="3900"/>
                                        <a:chOff x="1245" y="2863"/>
                                        <a:chExt cx="165" cy="3900"/>
                                      </a:xfrm>
                                    </wpg:grpSpPr>
                                    <wps:wsp>
                                      <wps:cNvPr id="351" name="Line 96"/>
                                      <wps:cNvCnPr>
                                        <a:cxnSpLocks noChangeShapeType="1"/>
                                      </wps:cNvCnPr>
                                      <wps:spPr bwMode="auto">
                                        <a:xfrm>
                                          <a:off x="1320" y="2968"/>
                                          <a:ext cx="1" cy="36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28" name="Freeform 97"/>
                                      <wps:cNvSpPr>
                                        <a:spLocks/>
                                      </wps:cNvSpPr>
                                      <wps:spPr bwMode="auto">
                                        <a:xfrm>
                                          <a:off x="1245" y="2863"/>
                                          <a:ext cx="165" cy="150"/>
                                        </a:xfrm>
                                        <a:custGeom>
                                          <a:avLst/>
                                          <a:gdLst>
                                            <a:gd name="T0" fmla="*/ 165 w 165"/>
                                            <a:gd name="T1" fmla="*/ 150 h 150"/>
                                            <a:gd name="T2" fmla="*/ 75 w 165"/>
                                            <a:gd name="T3" fmla="*/ 0 h 150"/>
                                            <a:gd name="T4" fmla="*/ 0 w 165"/>
                                            <a:gd name="T5" fmla="*/ 150 h 150"/>
                                            <a:gd name="T6" fmla="*/ 165 w 165"/>
                                            <a:gd name="T7" fmla="*/ 150 h 150"/>
                                          </a:gdLst>
                                          <a:ahLst/>
                                          <a:cxnLst>
                                            <a:cxn ang="0">
                                              <a:pos x="T0" y="T1"/>
                                            </a:cxn>
                                            <a:cxn ang="0">
                                              <a:pos x="T2" y="T3"/>
                                            </a:cxn>
                                            <a:cxn ang="0">
                                              <a:pos x="T4" y="T5"/>
                                            </a:cxn>
                                            <a:cxn ang="0">
                                              <a:pos x="T6" y="T7"/>
                                            </a:cxn>
                                          </a:cxnLst>
                                          <a:rect l="0" t="0" r="r" b="b"/>
                                          <a:pathLst>
                                            <a:path w="165" h="150">
                                              <a:moveTo>
                                                <a:pt x="165" y="150"/>
                                              </a:moveTo>
                                              <a:lnTo>
                                                <a:pt x="75" y="0"/>
                                              </a:lnTo>
                                              <a:lnTo>
                                                <a:pt x="0" y="150"/>
                                              </a:lnTo>
                                              <a:lnTo>
                                                <a:pt x="16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98"/>
                                      <wps:cNvSpPr>
                                        <a:spLocks/>
                                      </wps:cNvSpPr>
                                      <wps:spPr bwMode="auto">
                                        <a:xfrm>
                                          <a:off x="1245" y="6613"/>
                                          <a:ext cx="165" cy="150"/>
                                        </a:xfrm>
                                        <a:custGeom>
                                          <a:avLst/>
                                          <a:gdLst>
                                            <a:gd name="T0" fmla="*/ 0 w 165"/>
                                            <a:gd name="T1" fmla="*/ 0 h 150"/>
                                            <a:gd name="T2" fmla="*/ 75 w 165"/>
                                            <a:gd name="T3" fmla="*/ 150 h 150"/>
                                            <a:gd name="T4" fmla="*/ 165 w 165"/>
                                            <a:gd name="T5" fmla="*/ 0 h 150"/>
                                            <a:gd name="T6" fmla="*/ 0 w 165"/>
                                            <a:gd name="T7" fmla="*/ 0 h 150"/>
                                          </a:gdLst>
                                          <a:ahLst/>
                                          <a:cxnLst>
                                            <a:cxn ang="0">
                                              <a:pos x="T0" y="T1"/>
                                            </a:cxn>
                                            <a:cxn ang="0">
                                              <a:pos x="T2" y="T3"/>
                                            </a:cxn>
                                            <a:cxn ang="0">
                                              <a:pos x="T4" y="T5"/>
                                            </a:cxn>
                                            <a:cxn ang="0">
                                              <a:pos x="T6" y="T7"/>
                                            </a:cxn>
                                          </a:cxnLst>
                                          <a:rect l="0" t="0" r="r" b="b"/>
                                          <a:pathLst>
                                            <a:path w="165" h="150">
                                              <a:moveTo>
                                                <a:pt x="0" y="0"/>
                                              </a:moveTo>
                                              <a:lnTo>
                                                <a:pt x="75" y="150"/>
                                              </a:lnTo>
                                              <a:lnTo>
                                                <a:pt x="16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 name="Rectangle 101"/>
                                    <wps:cNvSpPr>
                                      <a:spLocks noChangeArrowheads="1"/>
                                    </wps:cNvSpPr>
                                    <wps:spPr bwMode="auto">
                                      <a:xfrm>
                                        <a:off x="1470" y="3013"/>
                                        <a:ext cx="645"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9D3" w:rsidRDefault="00E659D3">
                                          <w:r>
                                            <w:rPr>
                                              <w:rFonts w:cs="Arial"/>
                                              <w:b/>
                                              <w:bCs/>
                                              <w:color w:val="000000"/>
                                              <w:sz w:val="16"/>
                                              <w:szCs w:val="16"/>
                                            </w:rPr>
                                            <w:t>Q</w:t>
                                          </w:r>
                                          <w:r>
                                            <w:rPr>
                                              <w:rFonts w:cs="Arial"/>
                                              <w:b/>
                                              <w:bCs/>
                                              <w:color w:val="000000"/>
                                              <w:szCs w:val="16"/>
                                              <w:vertAlign w:val="subscript"/>
                                            </w:rPr>
                                            <w:t>peak</w:t>
                                          </w:r>
                                        </w:p>
                                      </w:txbxContent>
                                    </wps:txbx>
                                    <wps:bodyPr rot="0" vert="horz" wrap="square" lIns="0" tIns="0" rIns="0" bIns="0" anchor="t" anchorCtr="0" upright="1">
                                      <a:noAutofit/>
                                    </wps:bodyPr>
                                  </wps:wsp>
                                </wpg:grpSp>
                                <wpg:grpSp>
                                  <wpg:cNvPr id="131" name="Group 114"/>
                                  <wpg:cNvGrpSpPr>
                                    <a:grpSpLocks/>
                                  </wpg:cNvGrpSpPr>
                                  <wpg:grpSpPr bwMode="auto">
                                    <a:xfrm>
                                      <a:off x="5190" y="2968"/>
                                      <a:ext cx="840" cy="1545"/>
                                      <a:chOff x="5190" y="2968"/>
                                      <a:chExt cx="840" cy="1545"/>
                                    </a:xfrm>
                                  </wpg:grpSpPr>
                                  <wps:wsp>
                                    <wps:cNvPr id="132" name="Freeform 112"/>
                                    <wps:cNvSpPr>
                                      <a:spLocks/>
                                    </wps:cNvSpPr>
                                    <wps:spPr bwMode="auto">
                                      <a:xfrm>
                                        <a:off x="5310" y="2968"/>
                                        <a:ext cx="720" cy="1410"/>
                                      </a:xfrm>
                                      <a:custGeom>
                                        <a:avLst/>
                                        <a:gdLst>
                                          <a:gd name="T0" fmla="*/ 43 w 48"/>
                                          <a:gd name="T1" fmla="*/ 0 h 94"/>
                                          <a:gd name="T2" fmla="*/ 2 w 48"/>
                                          <a:gd name="T3" fmla="*/ 44 h 94"/>
                                          <a:gd name="T4" fmla="*/ 46 w 48"/>
                                          <a:gd name="T5" fmla="*/ 47 h 94"/>
                                          <a:gd name="T6" fmla="*/ 0 w 48"/>
                                          <a:gd name="T7" fmla="*/ 94 h 94"/>
                                        </a:gdLst>
                                        <a:ahLst/>
                                        <a:cxnLst>
                                          <a:cxn ang="0">
                                            <a:pos x="T0" y="T1"/>
                                          </a:cxn>
                                          <a:cxn ang="0">
                                            <a:pos x="T2" y="T3"/>
                                          </a:cxn>
                                          <a:cxn ang="0">
                                            <a:pos x="T4" y="T5"/>
                                          </a:cxn>
                                          <a:cxn ang="0">
                                            <a:pos x="T6" y="T7"/>
                                          </a:cxn>
                                        </a:cxnLst>
                                        <a:rect l="0" t="0" r="r" b="b"/>
                                        <a:pathLst>
                                          <a:path w="48" h="94">
                                            <a:moveTo>
                                              <a:pt x="43" y="0"/>
                                            </a:moveTo>
                                            <a:cubicBezTo>
                                              <a:pt x="36" y="7"/>
                                              <a:pt x="1" y="36"/>
                                              <a:pt x="2" y="44"/>
                                            </a:cubicBezTo>
                                            <a:cubicBezTo>
                                              <a:pt x="2" y="52"/>
                                              <a:pt x="48" y="37"/>
                                              <a:pt x="46" y="47"/>
                                            </a:cubicBezTo>
                                            <a:cubicBezTo>
                                              <a:pt x="45" y="55"/>
                                              <a:pt x="17" y="79"/>
                                              <a:pt x="0" y="9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13"/>
                                    <wps:cNvSpPr>
                                      <a:spLocks/>
                                    </wps:cNvSpPr>
                                    <wps:spPr bwMode="auto">
                                      <a:xfrm>
                                        <a:off x="5190" y="4318"/>
                                        <a:ext cx="210" cy="195"/>
                                      </a:xfrm>
                                      <a:custGeom>
                                        <a:avLst/>
                                        <a:gdLst>
                                          <a:gd name="T0" fmla="*/ 75 w 210"/>
                                          <a:gd name="T1" fmla="*/ 0 h 195"/>
                                          <a:gd name="T2" fmla="*/ 0 w 210"/>
                                          <a:gd name="T3" fmla="*/ 195 h 195"/>
                                          <a:gd name="T4" fmla="*/ 210 w 210"/>
                                          <a:gd name="T5" fmla="*/ 135 h 195"/>
                                          <a:gd name="T6" fmla="*/ 75 w 210"/>
                                          <a:gd name="T7" fmla="*/ 0 h 195"/>
                                        </a:gdLst>
                                        <a:ahLst/>
                                        <a:cxnLst>
                                          <a:cxn ang="0">
                                            <a:pos x="T0" y="T1"/>
                                          </a:cxn>
                                          <a:cxn ang="0">
                                            <a:pos x="T2" y="T3"/>
                                          </a:cxn>
                                          <a:cxn ang="0">
                                            <a:pos x="T4" y="T5"/>
                                          </a:cxn>
                                          <a:cxn ang="0">
                                            <a:pos x="T6" y="T7"/>
                                          </a:cxn>
                                        </a:cxnLst>
                                        <a:rect l="0" t="0" r="r" b="b"/>
                                        <a:pathLst>
                                          <a:path w="210" h="195">
                                            <a:moveTo>
                                              <a:pt x="75" y="0"/>
                                            </a:moveTo>
                                            <a:lnTo>
                                              <a:pt x="0" y="195"/>
                                            </a:lnTo>
                                            <a:lnTo>
                                              <a:pt x="210" y="135"/>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 name="Rectangle 116"/>
                                  <wps:cNvSpPr>
                                    <a:spLocks noChangeArrowheads="1"/>
                                  </wps:cNvSpPr>
                                  <wps:spPr bwMode="auto">
                                    <a:xfrm>
                                      <a:off x="6075" y="2758"/>
                                      <a:ext cx="96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9D3" w:rsidRDefault="00E659D3">
                                        <w:r>
                                          <w:rPr>
                                            <w:rFonts w:cs="Arial"/>
                                            <w:b/>
                                            <w:bCs/>
                                            <w:color w:val="000000"/>
                                            <w:sz w:val="16"/>
                                            <w:szCs w:val="16"/>
                                          </w:rPr>
                                          <w:t>V</w:t>
                                        </w:r>
                                        <w:r>
                                          <w:rPr>
                                            <w:rFonts w:cs="Arial"/>
                                            <w:b/>
                                            <w:bCs/>
                                            <w:color w:val="000000"/>
                                            <w:szCs w:val="16"/>
                                            <w:vertAlign w:val="subscript"/>
                                          </w:rPr>
                                          <w:t>overflow</w:t>
                                        </w:r>
                                      </w:p>
                                    </w:txbxContent>
                                  </wps:txbx>
                                  <wps:bodyPr rot="0" vert="horz" wrap="square" lIns="0" tIns="0" rIns="0" bIns="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id="Group 128" o:spid="_x0000_s1038" style="position:absolute;margin-left:3.75pt;margin-top:3.75pt;width:411.75pt;height:264.75pt;z-index:251643392;mso-position-horizontal-relative:text;mso-position-vertical-relative:text" coordorigin="795,1888" coordsize="8235,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">
                <v:rect id="Rectangle 95" o:spid="_x0000_s1039" style="position:absolute;left:795;top:1888;width:8235;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" filled="f" strokeweight="0"/>
                <v:group id="Group 127" o:spid="_x0000_s1040" style="position:absolute;left:1020;top:2758;width:7875;height:4066" coordorigin="1020,2758" coordsize="7875,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120" o:spid="_x0000_s1041" style="position:absolute;left:1530;top:6073;width:1200;height:720" coordorigin="1530,6073" coordsize="12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105" o:spid="_x0000_s1042" style="position:absolute;left:1530;top:6073;width:165;height:720" coordorigin="1530,6073" coordsize="1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Line 102" o:spid="_x0000_s1043" style="position:absolute;visibility:visible;mso-wrap-style:square" from="1605,6178" to="1606,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">
                        <v:stroke endcap="round"/>
                      </v:line>
                      <v:shape id="Freeform 103" o:spid="_x0000_s1044" style="position:absolute;left:1530;top:6073;width:165;height:150;visibility:visible;mso-wrap-style:square;v-text-anchor:top"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" path="m165,150l90,,,150r165,xe" fillcolor="black" stroked="f">
                        <v:path arrowok="t" o:connecttype="custom" o:connectlocs="165,150;90,0;0,150;165,150" o:connectangles="0,0,0,0"/>
                      </v:shape>
                      <v:shape id="Freeform 104" o:spid="_x0000_s1045" style="position:absolute;left:1530;top:6628;width:165;height:165;visibility:visible;mso-wrap-style:square;v-text-anchor:top"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" path="m,l90,165,165,,,xe" fillcolor="black" stroked="f">
                        <v:path arrowok="t" o:connecttype="custom" o:connectlocs="0,0;90,165;165,0;0,0" o:connectangles="0,0,0,0"/>
                      </v:shape>
                    </v:group>
                    <v:rect id="Rectangle 107" o:spid="_x0000_s1046" style="position:absolute;left:1725;top:6283;width:1005;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E659D3" w:rsidRDefault="00E659D3">
                            <w:r>
                              <w:rPr>
                                <w:rFonts w:cs="Arial"/>
                                <w:b/>
                                <w:bCs/>
                                <w:color w:val="000000"/>
                                <w:sz w:val="16"/>
                                <w:szCs w:val="16"/>
                              </w:rPr>
                              <w:t>Q</w:t>
                            </w:r>
                            <w:r>
                              <w:rPr>
                                <w:rFonts w:cs="Arial"/>
                                <w:b/>
                                <w:bCs/>
                                <w:color w:val="000000"/>
                                <w:szCs w:val="16"/>
                                <w:vertAlign w:val="subscript"/>
                              </w:rPr>
                              <w:t>regulator</w:t>
                            </w:r>
                          </w:p>
                        </w:txbxContent>
                      </v:textbox>
                    </v:rect>
                  </v:group>
                  <v:group id="Group 125" o:spid="_x0000_s1047" style="position:absolute;left:1020;top:2758;width:7875;height:4066" coordorigin="1020,2758" coordsize="7875,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Line 69" o:spid="_x0000_s1048" style="position:absolute;visibility:visible;mso-wrap-style:square" from="1020,6823" to="8895,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uoxAAAANsAAAAPAAAAZHJzL2Rvd25yZXYueG1sRI9Ba8JA&#10;FITvQv/D8gq96cZS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EEOC6jEAAAA2wAAAA8A&#10;AAAAAAAAAAAAAAAABwIAAGRycy9kb3ducmV2LnhtbFBLBQYAAAAAAwADALcAAAD4AgAAAAA=&#10;" strokeweight="0"/>
                    <v:group id="Group 124" o:spid="_x0000_s1049" style="position:absolute;left:1245;top:2758;width:7110;height:4065" coordorigin="1245,2758" coordsize="71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119" o:spid="_x0000_s1050" style="position:absolute;left:2715;top:2833;width:5055;height:3990" coordorigin="2715,2833" coordsize="5055,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118" o:spid="_x0000_s1051" style="position:absolute;left:2715;top:2833;width:5055;height:3990" coordorigin="2715,2833" coordsize="5055,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70" o:spid="_x0000_s1052" style="position:absolute;flip:y;visibility:visible;mso-wrap-style:square" from="2715,2833" to="4395,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" strokeweight="1.5pt"/>
                          <v:line id="Line 71" o:spid="_x0000_s1053" style="position:absolute;visibility:visible;mso-wrap-style:square" from="4395,2833" to="7770,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" strokeweight="1.5pt"/>
                        </v:group>
                        <v:line id="Line 93" o:spid="_x0000_s1054" style="position:absolute;flip:y;visibility:visible;mso-wrap-style:square" from="4395,2833" to="4396,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group>
                      <v:group id="Group 123" o:spid="_x0000_s1055" style="position:absolute;left:1245;top:2758;width:7110;height:4005" coordorigin="1245,2758" coordsize="7110,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117" o:spid="_x0000_s1056" style="position:absolute;left:1575;top:6013;width:6780;height:30" coordorigin="1575,6013" coordsize="67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72" o:spid="_x0000_s1057" style="position:absolute;left:157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rect id="Rectangle 73" o:spid="_x0000_s1058" style="position:absolute;left:190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rect id="Rectangle 74" o:spid="_x0000_s1059" style="position:absolute;left:223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75" o:spid="_x0000_s1060" style="position:absolute;left:256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76" o:spid="_x0000_s1061" style="position:absolute;left:289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rect id="Rectangle 77" o:spid="_x0000_s1062" style="position:absolute;left:322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Rectangle 78" o:spid="_x0000_s1063" style="position:absolute;left:355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" fillcolor="black" stroked="f"/>
                          <v:rect id="Rectangle 79" o:spid="_x0000_s1064" style="position:absolute;left:388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Q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2QBuZ+IRkLMrAAAA//8DAFBLAQItABQABgAIAAAAIQDb4fbL7gAAAIUBAAATAAAAAAAA&#10;AAAAAAAAAAAAAABbQ29udGVudF9UeXBlc10ueG1sUEsBAi0AFAAGAAgAAAAhAFr0LFu/AAAAFQEA&#10;AAsAAAAAAAAAAAAAAAAAHwEAAF9yZWxzLy5yZWxzUEsBAi0AFAAGAAgAAAAhANmQxDfHAAAA3AAA&#10;AA8AAAAAAAAAAAAAAAAABwIAAGRycy9kb3ducmV2LnhtbFBLBQYAAAAAAwADALcAAAD7AgAAAAA=&#10;" fillcolor="black" stroked="f"/>
                          <v:rect id="Rectangle 80" o:spid="_x0000_s1065" style="position:absolute;left:421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" fillcolor="black" stroked="f"/>
                          <v:rect id="Rectangle 81" o:spid="_x0000_s1066" style="position:absolute;left:454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" fillcolor="black" stroked="f"/>
                          <v:rect id="Rectangle 82" o:spid="_x0000_s1067" style="position:absolute;left:487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v:rect id="Rectangle 83" o:spid="_x0000_s1068" style="position:absolute;left:520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" fillcolor="black" stroked="f"/>
                          <v:rect id="Rectangle 84" o:spid="_x0000_s1069" style="position:absolute;left:553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8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4Qv8nolHQM4eAAAA//8DAFBLAQItABQABgAIAAAAIQDb4fbL7gAAAIUBAAATAAAAAAAA&#10;AAAAAAAAAAAAAABbQ29udGVudF9UeXBlc10ueG1sUEsBAi0AFAAGAAgAAAAhAFr0LFu/AAAAFQEA&#10;AAsAAAAAAAAAAAAAAAAAHwEAAF9yZWxzLy5yZWxzUEsBAi0AFAAGAAgAAAAhALzsbwXHAAAA3AAA&#10;AA8AAAAAAAAAAAAAAAAABwIAAGRycy9kb3ducmV2LnhtbFBLBQYAAAAAAwADALcAAAD7AgAAAAA=&#10;" fillcolor="black" stroked="f"/>
                          <v:rect id="Rectangle 85" o:spid="_x0000_s1070" style="position:absolute;left:586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" fillcolor="black" stroked="f"/>
                          <v:rect id="Rectangle 86" o:spid="_x0000_s1071" style="position:absolute;left:619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" fillcolor="black" stroked="f"/>
                          <v:rect id="Rectangle 87" o:spid="_x0000_s1072" style="position:absolute;left:652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GX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8RCuZ+IRkLN/AAAA//8DAFBLAQItABQABgAIAAAAIQDb4fbL7gAAAIUBAAATAAAAAAAA&#10;AAAAAAAAAAAAAABbQ29udGVudF9UeXBlc10ueG1sUEsBAi0AFAAGAAgAAAAhAFr0LFu/AAAAFQEA&#10;AAsAAAAAAAAAAAAAAAAAHwEAAF9yZWxzLy5yZWxzUEsBAi0AFAAGAAgAAAAhAARPIZfHAAAA3AAA&#10;AA8AAAAAAAAAAAAAAAAABwIAAGRycy9kb3ducmV2LnhtbFBLBQYAAAAAAwADALcAAAD7AgAAAAA=&#10;" fillcolor="black" stroked="f"/>
                          <v:rect id="Rectangle 88" o:spid="_x0000_s1073" style="position:absolute;left:685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" fillcolor="black" stroked="f"/>
                          <v:rect id="Rectangle 89" o:spid="_x0000_s1074" style="position:absolute;left:718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" fillcolor="black" stroked="f"/>
                          <v:rect id="Rectangle 90" o:spid="_x0000_s1075" style="position:absolute;left:751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" fillcolor="black" stroked="f"/>
                          <v:rect id="Rectangle 91" o:spid="_x0000_s1076" style="position:absolute;left:7845;top:6013;width:2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" fillcolor="black" stroked="f"/>
                          <v:rect id="Rectangle 92" o:spid="_x0000_s1077" style="position:absolute;left:8175;top:6013;width:18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nj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tAfjOBxJh4BOb0DAAD//wMAUEsBAi0AFAAGAAgAAAAhANvh9svuAAAAhQEAABMAAAAAAAAA&#10;AAAAAAAAAAAAAFtDb250ZW50X1R5cGVzXS54bWxQSwECLQAUAAYACAAAACEAWvQsW78AAAAVAQAA&#10;CwAAAAAAAAAAAAAAAAAfAQAAX3JlbHMvLnJlbHNQSwECLQAUAAYACAAAACEAi6a548YAAADcAAAA&#10;DwAAAAAAAAAAAAAAAAAHAgAAZHJzL2Rvd25yZXYueG1sUEsFBgAAAAADAAMAtwAAAPoCAAAAAA==&#10;" fillcolor="black" stroked="f"/>
                        </v:group>
                        <v:group id="Group 122" o:spid="_x0000_s1078" style="position:absolute;left:1245;top:2758;width:5790;height:4005" coordorigin="1245,2758" coordsize="5790,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group id="Group 121" o:spid="_x0000_s1079" style="position:absolute;left:1245;top:2833;width:3045;height:3930" coordorigin="1245,2833" coordsize="304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line id="Line 94" o:spid="_x0000_s1080" style="position:absolute;visibility:visible;mso-wrap-style:square" from="1245,2833" to="4290,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v:group id="Group 99" o:spid="_x0000_s1081" style="position:absolute;left:1245;top:2863;width:165;height:3900" coordorigin="1245,2863" coordsize="165,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line id="Line 96" o:spid="_x0000_s1082" style="position:absolute;visibility:visible;mso-wrap-style:square" from="1320,2968" to="1321,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">
                                <v:stroke endcap="round"/>
                              </v:line>
                              <v:shape id="Freeform 97" o:spid="_x0000_s1083" style="position:absolute;left:1245;top:2863;width:165;height:150;visibility:visible;mso-wrap-style:square;v-text-anchor:top"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" path="m165,150l75,,,150r165,xe" fillcolor="black" stroked="f">
                                <v:path arrowok="t" o:connecttype="custom" o:connectlocs="165,150;75,0;0,150;165,150" o:connectangles="0,0,0,0"/>
                              </v:shape>
                              <v:shape id="Freeform 98" o:spid="_x0000_s1084" style="position:absolute;left:1245;top:6613;width:165;height:150;visibility:visible;mso-wrap-style:square;v-text-anchor:top"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" path="m,l75,150,165,,,xe" fillcolor="black" stroked="f">
                                <v:path arrowok="t" o:connecttype="custom" o:connectlocs="0,0;75,150;165,0;0,0" o:connectangles="0,0,0,0"/>
                              </v:shape>
                            </v:group>
                            <v:rect id="Rectangle 101" o:spid="_x0000_s1085" style="position:absolute;left:1470;top:3013;width:645;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E659D3" w:rsidRDefault="00E659D3">
                                    <w:r>
                                      <w:rPr>
                                        <w:rFonts w:cs="Arial"/>
                                        <w:b/>
                                        <w:bCs/>
                                        <w:color w:val="000000"/>
                                        <w:sz w:val="16"/>
                                        <w:szCs w:val="16"/>
                                      </w:rPr>
                                      <w:t>Q</w:t>
                                    </w:r>
                                    <w:r>
                                      <w:rPr>
                                        <w:rFonts w:cs="Arial"/>
                                        <w:b/>
                                        <w:bCs/>
                                        <w:color w:val="000000"/>
                                        <w:szCs w:val="16"/>
                                        <w:vertAlign w:val="subscript"/>
                                      </w:rPr>
                                      <w:t>peak</w:t>
                                    </w:r>
                                  </w:p>
                                </w:txbxContent>
                              </v:textbox>
                            </v:rect>
                          </v:group>
                          <v:group id="Group 114" o:spid="_x0000_s1086" style="position:absolute;left:5190;top:2968;width:840;height:1545" coordorigin="5190,2968" coordsize="840,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12" o:spid="_x0000_s1087" style="position:absolute;left:5310;top:2968;width:720;height:1410;visibility:visible;mso-wrap-style:square;v-text-anchor:top" coordsize="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" path="m43,c36,7,1,36,2,44v,8,46,-7,44,3c45,55,17,79,,94e" filled="f" strokeweight="1.5pt">
                              <v:path arrowok="t" o:connecttype="custom" o:connectlocs="645,0;30,660;690,705;0,1410" o:connectangles="0,0,0,0"/>
                            </v:shape>
                            <v:shape id="Freeform 113" o:spid="_x0000_s1088" style="position:absolute;left:5190;top:4318;width:210;height:195;visibility:visible;mso-wrap-style:square;v-text-anchor:top" coordsize="2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" path="m75,l,195,210,135,75,xe" fillcolor="black" stroked="f">
                              <v:path arrowok="t" o:connecttype="custom" o:connectlocs="75,0;0,195;210,135;75,0" o:connectangles="0,0,0,0"/>
                            </v:shape>
                          </v:group>
                          <v:rect id="Rectangle 116" o:spid="_x0000_s1089" style="position:absolute;left:6075;top:2758;width:96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E659D3" w:rsidRDefault="00E659D3">
                                  <w:r>
                                    <w:rPr>
                                      <w:rFonts w:cs="Arial"/>
                                      <w:b/>
                                      <w:bCs/>
                                      <w:color w:val="000000"/>
                                      <w:sz w:val="16"/>
                                      <w:szCs w:val="16"/>
                                    </w:rPr>
                                    <w:t>V</w:t>
                                  </w:r>
                                  <w:r>
                                    <w:rPr>
                                      <w:rFonts w:cs="Arial"/>
                                      <w:b/>
                                      <w:bCs/>
                                      <w:color w:val="000000"/>
                                      <w:szCs w:val="16"/>
                                      <w:vertAlign w:val="subscript"/>
                                    </w:rPr>
                                    <w:t>overflow</w:t>
                                  </w:r>
                                </w:p>
                              </w:txbxContent>
                            </v:textbox>
                          </v:rect>
                        </v:group>
                      </v:group>
                    </v:group>
                  </v:group>
                </v:group>
              </v:group>
            </w:pict>
          </mc:Fallback>
        </mc:AlternateContent>
      </w:r>
      <w:r>
        <w:rPr>
          <w:rFonts w:cs="Arial"/>
          <w:noProof/>
        </w:rPr>
        <mc:AlternateContent>
          <mc:Choice Requires="wps">
            <w:drawing>
              <wp:anchor distT="0" distB="0" distL="114300" distR="114300" simplePos="0" relativeHeight="251642368" behindDoc="0" locked="0" layoutInCell="1" allowOverlap="1">
                <wp:simplePos x="0" y="0"/>
                <wp:positionH relativeFrom="column">
                  <wp:posOffset>3333750</wp:posOffset>
                </wp:positionH>
                <wp:positionV relativeFrom="paragraph">
                  <wp:posOffset>590550</wp:posOffset>
                </wp:positionV>
                <wp:extent cx="685800" cy="142875"/>
                <wp:effectExtent l="0" t="0" r="0" b="0"/>
                <wp:wrapNone/>
                <wp:docPr id="3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D60A9" id="Rectangle 115" o:spid="_x0000_s1026" style="position:absolute;margin-left:262.5pt;margin-top:46.5pt;width:54pt;height:1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" filled="f" stroked="f"/>
            </w:pict>
          </mc:Fallback>
        </mc:AlternateContent>
      </w:r>
      <w:r>
        <w:rPr>
          <w:rFonts w:cs="Arial"/>
          <w:noProof/>
        </w:rPr>
        <mc:AlternateContent>
          <mc:Choice Requires="wps">
            <w:drawing>
              <wp:anchor distT="0" distB="0" distL="114300" distR="114300" simplePos="0" relativeHeight="251641344" behindDoc="0" locked="0" layoutInCell="1" allowOverlap="1">
                <wp:simplePos x="0" y="0"/>
                <wp:positionH relativeFrom="column">
                  <wp:posOffset>609600</wp:posOffset>
                </wp:positionH>
                <wp:positionV relativeFrom="paragraph">
                  <wp:posOffset>2809875</wp:posOffset>
                </wp:positionV>
                <wp:extent cx="619125" cy="209550"/>
                <wp:effectExtent l="0" t="0" r="0" b="0"/>
                <wp:wrapNone/>
                <wp:docPr id="3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DA743" id="Rectangle 106" o:spid="_x0000_s1026" style="position:absolute;margin-left:48pt;margin-top:221.25pt;width:48.75pt;height: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" filled="f" stroked="f"/>
            </w:pict>
          </mc:Fallback>
        </mc:AlternateContent>
      </w:r>
      <w:r>
        <w:rPr>
          <w:rFonts w:cs="Arial"/>
          <w:noProof/>
        </w:rPr>
        <mc:AlternateContent>
          <mc:Choice Requires="wps">
            <w:drawing>
              <wp:anchor distT="0" distB="0" distL="114300" distR="114300" simplePos="0" relativeHeight="251640320" behindDoc="0" locked="0" layoutInCell="1" allowOverlap="1">
                <wp:simplePos x="0" y="0"/>
                <wp:positionH relativeFrom="column">
                  <wp:posOffset>428625</wp:posOffset>
                </wp:positionH>
                <wp:positionV relativeFrom="paragraph">
                  <wp:posOffset>752475</wp:posOffset>
                </wp:positionV>
                <wp:extent cx="428625" cy="142875"/>
                <wp:effectExtent l="0" t="0" r="0" b="0"/>
                <wp:wrapNone/>
                <wp:docPr id="3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724DE" id="Rectangle 100" o:spid="_x0000_s1026" style="position:absolute;margin-left:33.75pt;margin-top:59.25pt;width:33.75pt;height:1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" filled="f" stroked="f"/>
            </w:pict>
          </mc:Fallback>
        </mc:AlternateContent>
      </w:r>
    </w:p>
    <w:p w:rsidR="00E17BF3" w:rsidRDefault="00E17BF3">
      <w:pPr>
        <w:rPr>
          <w:rFonts w:cs="Arial"/>
          <w:sz w:val="22"/>
          <w:szCs w:val="22"/>
        </w:rPr>
      </w:pPr>
    </w:p>
    <w:p w:rsidR="00E17BF3" w:rsidRDefault="00E17BF3">
      <w:pPr>
        <w:rPr>
          <w:rFonts w:cs="Arial"/>
          <w:sz w:val="22"/>
          <w:szCs w:val="22"/>
        </w:rPr>
      </w:pPr>
    </w:p>
    <w:p w:rsidR="00E17BF3" w:rsidRDefault="00430DFB">
      <w:pPr>
        <w:rPr>
          <w:rFonts w:cs="Arial"/>
          <w:sz w:val="22"/>
          <w:szCs w:val="22"/>
        </w:rPr>
      </w:pPr>
      <w:r>
        <w:rPr>
          <w:rFonts w:cs="Arial"/>
          <w:noProof/>
          <w:szCs w:val="22"/>
        </w:rPr>
        <mc:AlternateContent>
          <mc:Choice Requires="wpg">
            <w:drawing>
              <wp:anchor distT="0" distB="0" distL="114300" distR="114300" simplePos="0" relativeHeight="251648512" behindDoc="1" locked="0" layoutInCell="1" allowOverlap="1">
                <wp:simplePos x="0" y="0"/>
                <wp:positionH relativeFrom="column">
                  <wp:posOffset>1504950</wp:posOffset>
                </wp:positionH>
                <wp:positionV relativeFrom="paragraph">
                  <wp:posOffset>119380</wp:posOffset>
                </wp:positionV>
                <wp:extent cx="2495550" cy="1971675"/>
                <wp:effectExtent l="0" t="5080" r="0" b="4445"/>
                <wp:wrapNone/>
                <wp:docPr id="2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1971675"/>
                          <a:chOff x="3090" y="2880"/>
                          <a:chExt cx="3930" cy="3105"/>
                        </a:xfrm>
                      </wpg:grpSpPr>
                      <wpg:grpSp>
                        <wpg:cNvPr id="26" name="Group 141"/>
                        <wpg:cNvGrpSpPr>
                          <a:grpSpLocks/>
                        </wpg:cNvGrpSpPr>
                        <wpg:grpSpPr bwMode="auto">
                          <a:xfrm>
                            <a:off x="3090" y="2880"/>
                            <a:ext cx="3930" cy="3105"/>
                            <a:chOff x="3090" y="2880"/>
                            <a:chExt cx="3930" cy="3105"/>
                          </a:xfrm>
                        </wpg:grpSpPr>
                        <wpg:grpSp>
                          <wpg:cNvPr id="27" name="Group 139"/>
                          <wpg:cNvGrpSpPr>
                            <a:grpSpLocks/>
                          </wpg:cNvGrpSpPr>
                          <wpg:grpSpPr bwMode="auto">
                            <a:xfrm>
                              <a:off x="3090" y="3653"/>
                              <a:ext cx="3930" cy="2332"/>
                              <a:chOff x="3090" y="3653"/>
                              <a:chExt cx="3930" cy="2332"/>
                            </a:xfrm>
                          </wpg:grpSpPr>
                          <wpg:grpSp>
                            <wpg:cNvPr id="28" name="Group 137"/>
                            <wpg:cNvGrpSpPr>
                              <a:grpSpLocks/>
                            </wpg:cNvGrpSpPr>
                            <wpg:grpSpPr bwMode="auto">
                              <a:xfrm>
                                <a:off x="3090" y="4350"/>
                                <a:ext cx="3930" cy="1635"/>
                                <a:chOff x="3090" y="4350"/>
                                <a:chExt cx="3930" cy="1635"/>
                              </a:xfrm>
                            </wpg:grpSpPr>
                            <wps:wsp>
                              <wps:cNvPr id="29" name="AutoShape 135"/>
                              <wps:cNvSpPr>
                                <a:spLocks noChangeArrowheads="1"/>
                              </wps:cNvSpPr>
                              <wps:spPr bwMode="auto">
                                <a:xfrm rot="10800000">
                                  <a:off x="3090" y="4365"/>
                                  <a:ext cx="3390" cy="16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AutoShape 136"/>
                              <wps:cNvSpPr>
                                <a:spLocks noChangeArrowheads="1"/>
                              </wps:cNvSpPr>
                              <wps:spPr bwMode="auto">
                                <a:xfrm rot="94642">
                                  <a:off x="5580" y="4350"/>
                                  <a:ext cx="1440" cy="1620"/>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3" name="AutoShape 138"/>
                            <wps:cNvSpPr>
                              <a:spLocks noChangeArrowheads="1"/>
                            </wps:cNvSpPr>
                            <wps:spPr bwMode="auto">
                              <a:xfrm rot="12705604">
                                <a:off x="3494" y="3653"/>
                                <a:ext cx="349" cy="1980"/>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4" name="AutoShape 140"/>
                          <wps:cNvSpPr>
                            <a:spLocks noChangeArrowheads="1"/>
                          </wps:cNvSpPr>
                          <wps:spPr bwMode="auto">
                            <a:xfrm rot="33">
                              <a:off x="3720" y="2880"/>
                              <a:ext cx="1440" cy="1620"/>
                            </a:xfrm>
                            <a:prstGeom prst="triangle">
                              <a:avLst>
                                <a:gd name="adj" fmla="val 46889"/>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5" name="AutoShape 142"/>
                        <wps:cNvSpPr>
                          <a:spLocks noChangeArrowheads="1"/>
                        </wps:cNvSpPr>
                        <wps:spPr bwMode="auto">
                          <a:xfrm rot="-104677">
                            <a:off x="4425" y="2880"/>
                            <a:ext cx="1260" cy="1620"/>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6F647" id="Group 143" o:spid="_x0000_s1026" style="position:absolute;margin-left:118.5pt;margin-top:9.4pt;width:196.5pt;height:155.25pt;z-index:-251667968" coordorigin="3090,2880" coordsize="3930,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">
                <v:group id="Group 141" o:spid="_x0000_s1027" style="position:absolute;left:3090;top:2880;width:3930;height:3105" coordorigin="3090,2880" coordsize="3930,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39" o:spid="_x0000_s1028" style="position:absolute;left:3090;top:3653;width:3930;height:2332" coordorigin="3090,3653" coordsize="393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137" o:spid="_x0000_s1029" style="position:absolute;left:3090;top:4350;width:3930;height:1635" coordorigin="3090,4350" coordsize="393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utoShape 135" o:spid="_x0000_s1030" style="position:absolute;left:3090;top:4365;width:3390;height:162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" path="m,l5400,21600r10800,l21600,,,xe" fillcolor="silver" stroked="f">
                        <v:stroke joinstyle="miter"/>
                        <v:path o:connecttype="custom" o:connectlocs="2966,810;1695,1620;424,810;1695,0" o:connectangles="0,0,0,0" textboxrect="4498,4507,17102,17107"/>
                      </v:shape>
                      <v:shapetype id="_x0000_t6" coordsize="21600,21600" o:spt="6" path="m,l,21600r21600,xe">
                        <v:stroke joinstyle="miter"/>
                        <v:path gradientshapeok="t" o:connecttype="custom" o:connectlocs="0,0;0,10800;0,21600;10800,21600;21600,21600;10800,10800" textboxrect="1800,12600,12600,19800"/>
                      </v:shapetype>
                      <v:shape id="AutoShape 136" o:spid="_x0000_s1031" type="#_x0000_t6" style="position:absolute;left:5580;top:4350;width:1440;height:1620;rotation:1033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" fillcolor="silver" stroked="f"/>
                    </v:group>
                    <v:shape id="AutoShape 138" o:spid="_x0000_s1032" type="#_x0000_t6" style="position:absolute;left:3494;top:3653;width:349;height:1980;rotation:-97150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" fillcolor="silver" stroked="f"/>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0" o:spid="_x0000_s1033" type="#_x0000_t5" style="position:absolute;left:3720;top:2880;width:1440;height:1620;rotation: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" adj="10128" fillcolor="silver" stroked="f"/>
                </v:group>
                <v:shape id="AutoShape 142" o:spid="_x0000_s1034" type="#_x0000_t6" style="position:absolute;left:4425;top:2880;width:1260;height:1620;rotation:-1143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" fillcolor="silver" stroked="f"/>
              </v:group>
            </w:pict>
          </mc:Fallback>
        </mc:AlternateContent>
      </w: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pStyle w:val="Norma"/>
        <w:rPr>
          <w:noProof/>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163031" w:rsidRDefault="00163031" w:rsidP="00C44873">
      <w:pPr>
        <w:pStyle w:val="Caption"/>
      </w:pPr>
      <w:r>
        <w:t xml:space="preserve">Figure </w:t>
      </w:r>
      <w:r w:rsidR="00AD7FEB">
        <w:t>B-</w:t>
      </w:r>
      <w:r>
        <w:t>1.</w:t>
      </w:r>
      <w:r w:rsidR="00AD7FEB">
        <w:t xml:space="preserve"> </w:t>
      </w:r>
      <w:r>
        <w:t xml:space="preserve">Conceptual </w:t>
      </w:r>
      <w:r w:rsidR="00AD7FEB">
        <w:t xml:space="preserve">diagram </w:t>
      </w:r>
      <w:r>
        <w:t xml:space="preserve">of </w:t>
      </w:r>
      <w:r w:rsidR="00AD7FEB">
        <w:t>triangular runoff hydrograph</w:t>
      </w:r>
    </w:p>
    <w:p w:rsidR="00E17BF3" w:rsidRDefault="00E17BF3">
      <w:pPr>
        <w:rPr>
          <w:rFonts w:cs="Arial"/>
          <w:sz w:val="22"/>
          <w:szCs w:val="22"/>
        </w:rPr>
      </w:pPr>
    </w:p>
    <w:p w:rsidR="00E17BF3" w:rsidRDefault="00726551">
      <w:pPr>
        <w:rPr>
          <w:rFonts w:cs="Arial"/>
          <w:sz w:val="22"/>
          <w:szCs w:val="22"/>
        </w:rPr>
      </w:pPr>
      <w:r>
        <w:rPr>
          <w:noProof/>
        </w:rPr>
        <w:drawing>
          <wp:inline distT="0" distB="0" distL="0" distR="0">
            <wp:extent cx="5334000" cy="3571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srcRect/>
                    <a:stretch>
                      <a:fillRect/>
                    </a:stretch>
                  </pic:blipFill>
                  <pic:spPr bwMode="auto">
                    <a:xfrm>
                      <a:off x="0" y="0"/>
                      <a:ext cx="5334000" cy="3571875"/>
                    </a:xfrm>
                    <a:prstGeom prst="rect">
                      <a:avLst/>
                    </a:prstGeom>
                    <a:noFill/>
                    <a:ln w="9525">
                      <a:noFill/>
                      <a:miter lim="800000"/>
                      <a:headEnd/>
                      <a:tailEnd/>
                    </a:ln>
                  </pic:spPr>
                </pic:pic>
              </a:graphicData>
            </a:graphic>
          </wp:inline>
        </w:drawing>
      </w:r>
    </w:p>
    <w:p w:rsidR="00163031" w:rsidRDefault="00163031" w:rsidP="00C44873">
      <w:pPr>
        <w:pStyle w:val="Caption"/>
      </w:pPr>
      <w:r>
        <w:t xml:space="preserve">Figure </w:t>
      </w:r>
      <w:r w:rsidR="00AD7FEB">
        <w:t>B-</w:t>
      </w:r>
      <w:r>
        <w:t xml:space="preserve">2. Comparison of SWMM </w:t>
      </w:r>
      <w:r w:rsidR="00AD7FEB">
        <w:t xml:space="preserve">simulated overflow volumes </w:t>
      </w:r>
      <w:r>
        <w:t>with Equation 1.</w:t>
      </w:r>
    </w:p>
    <w:p w:rsidR="00163031" w:rsidRDefault="00163031">
      <w:pPr>
        <w:pStyle w:val="BodyText0"/>
        <w:tabs>
          <w:tab w:val="left" w:pos="1080"/>
        </w:tabs>
        <w:rPr>
          <w:rFonts w:cs="Arial"/>
          <w:b/>
          <w:bCs/>
          <w:sz w:val="22"/>
          <w:szCs w:val="22"/>
        </w:rPr>
      </w:pPr>
    </w:p>
    <w:p w:rsidR="00E17BF3" w:rsidRDefault="00E17BF3">
      <w:pPr>
        <w:pStyle w:val="BodyText0"/>
        <w:tabs>
          <w:tab w:val="left" w:pos="1080"/>
        </w:tabs>
        <w:rPr>
          <w:rFonts w:cs="Arial"/>
          <w:b/>
          <w:bCs/>
          <w:sz w:val="22"/>
          <w:szCs w:val="22"/>
        </w:rPr>
      </w:pPr>
    </w:p>
    <w:p w:rsidR="00E17BF3" w:rsidRDefault="00726551">
      <w:pPr>
        <w:rPr>
          <w:rFonts w:cs="Arial"/>
          <w:sz w:val="22"/>
          <w:szCs w:val="22"/>
        </w:rPr>
      </w:pPr>
      <w:r>
        <w:rPr>
          <w:rFonts w:cs="Arial"/>
          <w:noProof/>
        </w:rPr>
        <w:drawing>
          <wp:anchor distT="0" distB="0" distL="114300" distR="114300" simplePos="0" relativeHeight="251644416" behindDoc="0" locked="0" layoutInCell="1" allowOverlap="0">
            <wp:simplePos x="0" y="0"/>
            <wp:positionH relativeFrom="column">
              <wp:posOffset>45720</wp:posOffset>
            </wp:positionH>
            <wp:positionV relativeFrom="paragraph">
              <wp:posOffset>60325</wp:posOffset>
            </wp:positionV>
            <wp:extent cx="5343525" cy="3467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a:srcRect/>
                    <a:stretch>
                      <a:fillRect/>
                    </a:stretch>
                  </pic:blipFill>
                  <pic:spPr bwMode="auto">
                    <a:xfrm>
                      <a:off x="0" y="0"/>
                      <a:ext cx="5343525" cy="3467100"/>
                    </a:xfrm>
                    <a:prstGeom prst="rect">
                      <a:avLst/>
                    </a:prstGeom>
                    <a:noFill/>
                    <a:ln w="9525">
                      <a:noFill/>
                      <a:miter lim="800000"/>
                      <a:headEnd/>
                      <a:tailEnd/>
                    </a:ln>
                  </pic:spPr>
                </pic:pic>
              </a:graphicData>
            </a:graphic>
          </wp:anchor>
        </w:drawing>
      </w: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E17BF3" w:rsidRDefault="00E17BF3">
      <w:pPr>
        <w:rPr>
          <w:rFonts w:cs="Arial"/>
          <w:sz w:val="22"/>
          <w:szCs w:val="22"/>
        </w:rPr>
      </w:pPr>
    </w:p>
    <w:p w:rsidR="00163031" w:rsidRDefault="00163031" w:rsidP="00C44873">
      <w:pPr>
        <w:pStyle w:val="Caption"/>
      </w:pPr>
      <w:r>
        <w:t xml:space="preserve">Figure </w:t>
      </w:r>
      <w:r w:rsidR="00AD7FEB" w:rsidRPr="00AD7FEB">
        <w:rPr>
          <w:rFonts w:cs="Arial"/>
          <w:bCs/>
          <w:sz w:val="22"/>
          <w:szCs w:val="22"/>
        </w:rPr>
        <w:t>B-</w:t>
      </w:r>
      <w:r>
        <w:t>3.</w:t>
      </w:r>
      <w:r w:rsidR="00AD7FEB">
        <w:t xml:space="preserve"> </w:t>
      </w:r>
      <w:r>
        <w:t xml:space="preserve">Conceptual </w:t>
      </w:r>
      <w:r w:rsidR="00AD7FEB">
        <w:t xml:space="preserve">diagram </w:t>
      </w:r>
      <w:r>
        <w:t xml:space="preserve">of </w:t>
      </w:r>
      <w:r w:rsidR="00AD7FEB">
        <w:t xml:space="preserve">calculation </w:t>
      </w:r>
      <w:r>
        <w:t xml:space="preserve">of </w:t>
      </w:r>
      <w:r w:rsidR="00AD7FEB">
        <w:t>fraction diverted</w:t>
      </w:r>
    </w:p>
    <w:p w:rsidR="00E17BF3" w:rsidRDefault="00E17BF3">
      <w:pPr>
        <w:rPr>
          <w:rFonts w:cs="Arial"/>
          <w:sz w:val="22"/>
          <w:szCs w:val="22"/>
        </w:rPr>
      </w:pPr>
    </w:p>
    <w:p w:rsidR="00E17BF3" w:rsidRDefault="00E17BF3">
      <w:pPr>
        <w:rPr>
          <w:rFonts w:cs="Arial"/>
          <w:sz w:val="22"/>
          <w:szCs w:val="22"/>
        </w:rPr>
      </w:pPr>
    </w:p>
    <w:p w:rsidR="00E17BF3" w:rsidRDefault="00726551">
      <w:pPr>
        <w:pStyle w:val="BodyText0"/>
        <w:tabs>
          <w:tab w:val="left" w:pos="1080"/>
        </w:tabs>
        <w:rPr>
          <w:rFonts w:cs="Arial"/>
          <w:b/>
          <w:sz w:val="22"/>
          <w:szCs w:val="22"/>
        </w:rPr>
      </w:pPr>
      <w:r>
        <w:rPr>
          <w:rFonts w:cs="Arial"/>
          <w:noProof/>
          <w:sz w:val="22"/>
          <w:szCs w:val="22"/>
        </w:rPr>
        <w:drawing>
          <wp:anchor distT="0" distB="0" distL="114300" distR="114300" simplePos="0" relativeHeight="251645440" behindDoc="0" locked="0" layoutInCell="1" allowOverlap="1">
            <wp:simplePos x="0" y="0"/>
            <wp:positionH relativeFrom="column">
              <wp:posOffset>114300</wp:posOffset>
            </wp:positionH>
            <wp:positionV relativeFrom="paragraph">
              <wp:posOffset>90805</wp:posOffset>
            </wp:positionV>
            <wp:extent cx="5334000" cy="3429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srcRect/>
                    <a:stretch>
                      <a:fillRect/>
                    </a:stretch>
                  </pic:blipFill>
                  <pic:spPr bwMode="auto">
                    <a:xfrm>
                      <a:off x="0" y="0"/>
                      <a:ext cx="5334000" cy="3429000"/>
                    </a:xfrm>
                    <a:prstGeom prst="rect">
                      <a:avLst/>
                    </a:prstGeom>
                    <a:noFill/>
                  </pic:spPr>
                </pic:pic>
              </a:graphicData>
            </a:graphic>
          </wp:anchor>
        </w:drawing>
      </w:r>
    </w:p>
    <w:p w:rsidR="00163031" w:rsidRDefault="00163031" w:rsidP="00163031">
      <w:pPr>
        <w:pStyle w:val="BodyText0"/>
        <w:tabs>
          <w:tab w:val="left" w:pos="1080"/>
        </w:tabs>
        <w:rPr>
          <w:rFonts w:cs="Arial"/>
          <w:b/>
          <w:sz w:val="22"/>
          <w:szCs w:val="22"/>
        </w:rPr>
      </w:pPr>
    </w:p>
    <w:p w:rsidR="00163031" w:rsidRDefault="00163031" w:rsidP="00163031">
      <w:pPr>
        <w:pStyle w:val="BodyText0"/>
        <w:tabs>
          <w:tab w:val="left" w:pos="1080"/>
        </w:tabs>
        <w:rPr>
          <w:rFonts w:cs="Arial"/>
          <w:b/>
          <w:sz w:val="22"/>
          <w:szCs w:val="22"/>
        </w:rPr>
      </w:pPr>
    </w:p>
    <w:p w:rsidR="00163031" w:rsidRDefault="00163031" w:rsidP="00163031">
      <w:pPr>
        <w:pStyle w:val="BodyText0"/>
        <w:tabs>
          <w:tab w:val="left" w:pos="1080"/>
        </w:tabs>
        <w:rPr>
          <w:rFonts w:cs="Arial"/>
          <w:b/>
          <w:sz w:val="22"/>
          <w:szCs w:val="22"/>
        </w:rPr>
      </w:pPr>
    </w:p>
    <w:p w:rsidR="00163031" w:rsidRDefault="00163031" w:rsidP="00163031">
      <w:pPr>
        <w:pStyle w:val="BodyText0"/>
        <w:tabs>
          <w:tab w:val="left" w:pos="1080"/>
        </w:tabs>
        <w:rPr>
          <w:rFonts w:cs="Arial"/>
          <w:b/>
          <w:sz w:val="22"/>
          <w:szCs w:val="22"/>
        </w:rPr>
      </w:pPr>
    </w:p>
    <w:p w:rsidR="00163031" w:rsidRDefault="00163031" w:rsidP="00163031">
      <w:pPr>
        <w:pStyle w:val="BodyText0"/>
        <w:tabs>
          <w:tab w:val="left" w:pos="1080"/>
        </w:tabs>
        <w:rPr>
          <w:rFonts w:cs="Arial"/>
          <w:b/>
          <w:sz w:val="22"/>
          <w:szCs w:val="22"/>
        </w:rPr>
      </w:pPr>
    </w:p>
    <w:p w:rsidR="00163031" w:rsidRDefault="00163031" w:rsidP="00163031">
      <w:pPr>
        <w:pStyle w:val="BodyText0"/>
        <w:tabs>
          <w:tab w:val="left" w:pos="1080"/>
        </w:tabs>
        <w:rPr>
          <w:rFonts w:cs="Arial"/>
          <w:b/>
          <w:sz w:val="22"/>
          <w:szCs w:val="22"/>
        </w:rPr>
      </w:pPr>
    </w:p>
    <w:p w:rsidR="00163031" w:rsidRDefault="00163031" w:rsidP="00163031">
      <w:pPr>
        <w:pStyle w:val="BodyText0"/>
        <w:tabs>
          <w:tab w:val="left" w:pos="1080"/>
        </w:tabs>
        <w:rPr>
          <w:rFonts w:cs="Arial"/>
          <w:b/>
          <w:sz w:val="22"/>
          <w:szCs w:val="22"/>
        </w:rPr>
      </w:pPr>
    </w:p>
    <w:p w:rsidR="00163031" w:rsidRDefault="00163031" w:rsidP="00163031">
      <w:pPr>
        <w:pStyle w:val="BodyText0"/>
        <w:tabs>
          <w:tab w:val="left" w:pos="1080"/>
        </w:tabs>
        <w:rPr>
          <w:rFonts w:cs="Arial"/>
          <w:b/>
          <w:sz w:val="22"/>
          <w:szCs w:val="22"/>
        </w:rPr>
      </w:pPr>
    </w:p>
    <w:p w:rsidR="00163031" w:rsidRDefault="00163031" w:rsidP="00163031">
      <w:pPr>
        <w:pStyle w:val="BodyText0"/>
        <w:tabs>
          <w:tab w:val="left" w:pos="1080"/>
        </w:tabs>
        <w:rPr>
          <w:rFonts w:cs="Arial"/>
          <w:b/>
          <w:sz w:val="22"/>
          <w:szCs w:val="22"/>
        </w:rPr>
      </w:pPr>
    </w:p>
    <w:p w:rsidR="00163031" w:rsidRDefault="00163031" w:rsidP="00163031">
      <w:pPr>
        <w:pStyle w:val="BodyText0"/>
        <w:tabs>
          <w:tab w:val="left" w:pos="1080"/>
        </w:tabs>
        <w:rPr>
          <w:rFonts w:cs="Arial"/>
          <w:b/>
          <w:sz w:val="22"/>
          <w:szCs w:val="22"/>
        </w:rPr>
      </w:pPr>
    </w:p>
    <w:p w:rsidR="00163031" w:rsidRDefault="00163031" w:rsidP="00F83A8E">
      <w:pPr>
        <w:pStyle w:val="Caption"/>
      </w:pPr>
      <w:r>
        <w:t xml:space="preserve">Figure </w:t>
      </w:r>
      <w:r w:rsidR="00AD7FEB">
        <w:rPr>
          <w:bCs/>
        </w:rPr>
        <w:t>B-</w:t>
      </w:r>
      <w:r>
        <w:t>4.</w:t>
      </w:r>
      <w:r w:rsidR="00AD7FEB">
        <w:t xml:space="preserve"> </w:t>
      </w:r>
      <w:r>
        <w:t xml:space="preserve">Comparison of </w:t>
      </w:r>
      <w:r w:rsidR="00AD7FEB">
        <w:t xml:space="preserve">fraction conveyed </w:t>
      </w:r>
      <w:r>
        <w:t>by Hyetograph Approach versus Equation 1</w:t>
      </w:r>
    </w:p>
    <w:p w:rsidR="00E17BF3" w:rsidRDefault="00E17BF3" w:rsidP="00F83A8E">
      <w:pPr>
        <w:pStyle w:val="Caption"/>
      </w:pPr>
      <w:r>
        <w:br w:type="page"/>
        <w:t xml:space="preserve">Table </w:t>
      </w:r>
      <w:r w:rsidR="00AD7FEB">
        <w:t>B-</w:t>
      </w:r>
      <w:r w:rsidR="00F83A8E">
        <w:t xml:space="preserve">1. </w:t>
      </w:r>
      <w:r>
        <w:t xml:space="preserve">Fraction of </w:t>
      </w:r>
      <w:r w:rsidR="008853EF">
        <w:t xml:space="preserve">total flow diverted </w:t>
      </w:r>
      <w:r>
        <w:t>to WWTP from 24-</w:t>
      </w:r>
      <w:r w:rsidR="008853EF">
        <w:t>hour rainfall</w:t>
      </w:r>
    </w:p>
    <w:p w:rsidR="00E17BF3" w:rsidRDefault="00E17BF3">
      <w:pPr>
        <w:pStyle w:val="BodyText0"/>
        <w:tabs>
          <w:tab w:val="left" w:pos="1080"/>
        </w:tabs>
        <w:rPr>
          <w:rFonts w:cs="Arial"/>
          <w:sz w:val="22"/>
          <w:szCs w:val="22"/>
        </w:rPr>
      </w:pPr>
    </w:p>
    <w:tbl>
      <w:tblPr>
        <w:tblW w:w="4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38"/>
        <w:gridCol w:w="2340"/>
      </w:tblGrid>
      <w:tr w:rsidR="00E17BF3" w:rsidRPr="007106DC" w:rsidTr="004525BA">
        <w:trPr>
          <w:trHeight w:val="255"/>
          <w:jc w:val="center"/>
        </w:trPr>
        <w:tc>
          <w:tcPr>
            <w:tcW w:w="2638" w:type="dxa"/>
            <w:tcBorders>
              <w:bottom w:val="double" w:sz="4" w:space="0" w:color="auto"/>
            </w:tcBorders>
            <w:noWrap/>
            <w:vAlign w:val="bottom"/>
          </w:tcPr>
          <w:p w:rsidR="00E17BF3" w:rsidRPr="007106DC" w:rsidRDefault="00E17BF3">
            <w:pPr>
              <w:spacing w:before="120" w:after="120"/>
              <w:jc w:val="center"/>
              <w:rPr>
                <w:rFonts w:eastAsia="Arial Unicode MS" w:cs="Arial"/>
                <w:b/>
                <w:sz w:val="18"/>
                <w:szCs w:val="18"/>
              </w:rPr>
            </w:pPr>
            <w:r w:rsidRPr="007106DC">
              <w:rPr>
                <w:rFonts w:cs="Arial"/>
                <w:b/>
                <w:sz w:val="18"/>
                <w:szCs w:val="18"/>
              </w:rPr>
              <w:t xml:space="preserve">Ratio of </w:t>
            </w:r>
            <w:r w:rsidR="004525BA" w:rsidRPr="007106DC">
              <w:rPr>
                <w:rFonts w:cs="Arial"/>
                <w:b/>
                <w:sz w:val="18"/>
                <w:szCs w:val="18"/>
              </w:rPr>
              <w:t>h</w:t>
            </w:r>
            <w:r w:rsidRPr="007106DC">
              <w:rPr>
                <w:rFonts w:cs="Arial"/>
                <w:b/>
                <w:sz w:val="18"/>
                <w:szCs w:val="18"/>
              </w:rPr>
              <w:t xml:space="preserve">ydraulic control </w:t>
            </w:r>
            <w:r w:rsidR="004525BA" w:rsidRPr="007106DC">
              <w:rPr>
                <w:rFonts w:cs="Arial"/>
                <w:b/>
                <w:sz w:val="18"/>
                <w:szCs w:val="18"/>
              </w:rPr>
              <w:t>c</w:t>
            </w:r>
            <w:r w:rsidRPr="007106DC">
              <w:rPr>
                <w:rFonts w:cs="Arial"/>
                <w:b/>
                <w:sz w:val="18"/>
                <w:szCs w:val="18"/>
              </w:rPr>
              <w:t xml:space="preserve">apacity to </w:t>
            </w:r>
            <w:r w:rsidR="004525BA" w:rsidRPr="007106DC">
              <w:rPr>
                <w:rFonts w:cs="Arial"/>
                <w:b/>
                <w:sz w:val="18"/>
                <w:szCs w:val="18"/>
              </w:rPr>
              <w:t>peak flow rate</w:t>
            </w:r>
          </w:p>
        </w:tc>
        <w:tc>
          <w:tcPr>
            <w:tcW w:w="2340" w:type="dxa"/>
            <w:tcBorders>
              <w:bottom w:val="double" w:sz="4" w:space="0" w:color="auto"/>
            </w:tcBorders>
            <w:noWrap/>
            <w:vAlign w:val="bottom"/>
          </w:tcPr>
          <w:p w:rsidR="00E17BF3" w:rsidRPr="007106DC" w:rsidRDefault="00E17BF3">
            <w:pPr>
              <w:spacing w:before="120" w:after="120"/>
              <w:jc w:val="center"/>
              <w:rPr>
                <w:rFonts w:eastAsia="Arial Unicode MS" w:cs="Arial"/>
                <w:b/>
                <w:sz w:val="18"/>
                <w:szCs w:val="18"/>
              </w:rPr>
            </w:pPr>
            <w:r w:rsidRPr="007106DC">
              <w:rPr>
                <w:rFonts w:cs="Arial"/>
                <w:b/>
                <w:sz w:val="18"/>
                <w:szCs w:val="18"/>
              </w:rPr>
              <w:t xml:space="preserve">Diversion </w:t>
            </w:r>
            <w:r w:rsidR="004525BA" w:rsidRPr="007106DC">
              <w:rPr>
                <w:rFonts w:cs="Arial"/>
                <w:b/>
                <w:sz w:val="18"/>
                <w:szCs w:val="18"/>
              </w:rPr>
              <w:t>fraction</w:t>
            </w:r>
          </w:p>
        </w:tc>
      </w:tr>
      <w:tr w:rsidR="00E17BF3" w:rsidRPr="007106DC" w:rsidTr="004525BA">
        <w:trPr>
          <w:trHeight w:val="255"/>
          <w:jc w:val="center"/>
        </w:trPr>
        <w:tc>
          <w:tcPr>
            <w:tcW w:w="2638" w:type="dxa"/>
            <w:tcBorders>
              <w:top w:val="double" w:sz="4" w:space="0" w:color="auto"/>
            </w:tcBorders>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0.01 to 0.02</w:t>
            </w:r>
          </w:p>
        </w:tc>
        <w:tc>
          <w:tcPr>
            <w:tcW w:w="2340" w:type="dxa"/>
            <w:tcBorders>
              <w:top w:val="double" w:sz="4" w:space="0" w:color="auto"/>
            </w:tcBorders>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0.04</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0.02 to 0.03</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0.06</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0.03 to 0.04</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0.09</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0.04 to 0.05</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0.11</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0.05 to 0.06</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0.14</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0.06 to 0.07</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0.16</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0.07 to 0.08</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0.19</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0.08 to 0.09</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0.21</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0.09 to 0.10</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0.24</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0.10 to 0.12</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0.28</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0.12 to 0.14</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0.33</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0.14 to 0.16</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0.38</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0.16 to 0.18</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0.42</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0.18 to 0.20</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0.47</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0.20 to 0.24</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0.54</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0.24 to 0.28</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0.62</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0.28 to 0.32</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0.68</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0.32 to 0.36</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0.72</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0.36 to 0.40</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0.76</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0.41 to 0.50</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0.81</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0.51 to 0.60</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0.87</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0.61 to 0.70</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0.91</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0.71 to 0.80</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0.95</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0.81 to 0.90</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0.98</w:t>
            </w:r>
          </w:p>
        </w:tc>
      </w:tr>
      <w:tr w:rsidR="00E17BF3" w:rsidRPr="007106DC" w:rsidTr="004525BA">
        <w:trPr>
          <w:trHeight w:val="255"/>
          <w:jc w:val="center"/>
        </w:trPr>
        <w:tc>
          <w:tcPr>
            <w:tcW w:w="2638"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0.91 to 1.00</w:t>
            </w:r>
          </w:p>
        </w:tc>
        <w:tc>
          <w:tcPr>
            <w:tcW w:w="2340" w:type="dxa"/>
            <w:noWrap/>
            <w:vAlign w:val="bottom"/>
          </w:tcPr>
          <w:p w:rsidR="00E17BF3" w:rsidRPr="007106DC" w:rsidRDefault="00E17BF3">
            <w:pPr>
              <w:spacing w:before="60" w:after="60"/>
              <w:jc w:val="center"/>
              <w:rPr>
                <w:rFonts w:eastAsia="Arial Unicode MS" w:cs="Arial"/>
                <w:sz w:val="18"/>
                <w:szCs w:val="18"/>
              </w:rPr>
            </w:pPr>
            <w:r w:rsidRPr="007106DC">
              <w:rPr>
                <w:rFonts w:cs="Arial"/>
                <w:sz w:val="18"/>
                <w:szCs w:val="18"/>
              </w:rPr>
              <w:t>0.99</w:t>
            </w:r>
          </w:p>
        </w:tc>
      </w:tr>
    </w:tbl>
    <w:p w:rsidR="0052173E" w:rsidRDefault="0052173E" w:rsidP="007F221D">
      <w:pPr>
        <w:pStyle w:val="Heading1A"/>
        <w:sectPr w:rsidR="0052173E" w:rsidSect="005F01AD">
          <w:headerReference w:type="even" r:id="rId99"/>
          <w:footerReference w:type="even" r:id="rId100"/>
          <w:footerReference w:type="default" r:id="rId101"/>
          <w:headerReference w:type="first" r:id="rId102"/>
          <w:footerReference w:type="first" r:id="rId103"/>
          <w:endnotePr>
            <w:numFmt w:val="decimal"/>
            <w:numRestart w:val="eachSect"/>
          </w:endnotePr>
          <w:type w:val="oddPage"/>
          <w:pgSz w:w="12240" w:h="15840"/>
          <w:pgMar w:top="1440" w:right="1440" w:bottom="1440" w:left="1440" w:header="720" w:footer="720" w:gutter="0"/>
          <w:pgNumType w:start="1" w:chapStyle="9"/>
          <w:cols w:space="720"/>
          <w:titlePg/>
          <w:docGrid w:linePitch="360"/>
        </w:sectPr>
      </w:pPr>
    </w:p>
    <w:p w:rsidR="008A17BA" w:rsidRDefault="008A17BA" w:rsidP="007F221D">
      <w:pPr>
        <w:pStyle w:val="Heading1A"/>
        <w:sectPr w:rsidR="008A17BA" w:rsidSect="00CB0C59">
          <w:headerReference w:type="even" r:id="rId104"/>
          <w:headerReference w:type="default" r:id="rId105"/>
          <w:footerReference w:type="default" r:id="rId106"/>
          <w:footerReference w:type="first" r:id="rId107"/>
          <w:endnotePr>
            <w:numFmt w:val="decimal"/>
            <w:numRestart w:val="eachSect"/>
          </w:endnotePr>
          <w:type w:val="continuous"/>
          <w:pgSz w:w="12240" w:h="15840"/>
          <w:pgMar w:top="1440" w:right="1440" w:bottom="1440" w:left="1440" w:header="720" w:footer="720" w:gutter="0"/>
          <w:pgNumType w:start="1"/>
          <w:cols w:space="720"/>
          <w:titlePg/>
          <w:docGrid w:linePitch="360"/>
        </w:sectPr>
      </w:pPr>
      <w:bookmarkStart w:id="309" w:name="_Toc243809480"/>
    </w:p>
    <w:p w:rsidR="002A082A" w:rsidRDefault="002A082A" w:rsidP="002A082A">
      <w:pPr>
        <w:pStyle w:val="Heading9"/>
      </w:pPr>
    </w:p>
    <w:p w:rsidR="00E17BF3" w:rsidRDefault="00E17BF3" w:rsidP="007F221D">
      <w:pPr>
        <w:pStyle w:val="Heading1A"/>
      </w:pPr>
      <w:bookmarkStart w:id="310" w:name="_Toc285015644"/>
      <w:r w:rsidRPr="007F221D">
        <w:t>Appendix C</w:t>
      </w:r>
      <w:r w:rsidR="007F221D">
        <w:t xml:space="preserve">. </w:t>
      </w:r>
      <w:r w:rsidR="007F221D" w:rsidRPr="007F221D">
        <w:t xml:space="preserve">Cost Estimates for Green </w:t>
      </w:r>
      <w:r w:rsidRPr="007F221D">
        <w:t xml:space="preserve">LTCP-EZ </w:t>
      </w:r>
      <w:r w:rsidR="007F221D" w:rsidRPr="007F221D">
        <w:t>Template</w:t>
      </w:r>
      <w:r w:rsidR="00A57320">
        <w:t>,</w:t>
      </w:r>
      <w:r w:rsidR="00B11595">
        <w:t xml:space="preserve"> </w:t>
      </w:r>
      <w:r w:rsidR="007F221D" w:rsidRPr="007F221D">
        <w:t xml:space="preserve">Schedules </w:t>
      </w:r>
      <w:r w:rsidRPr="007F221D">
        <w:t>5</w:t>
      </w:r>
      <w:r w:rsidR="00B91F0C" w:rsidRPr="007F221D">
        <w:t>A and 5B</w:t>
      </w:r>
      <w:r w:rsidRPr="007F221D">
        <w:t xml:space="preserve"> – CSO </w:t>
      </w:r>
      <w:r w:rsidR="007F221D" w:rsidRPr="007F221D">
        <w:t>Control</w:t>
      </w:r>
      <w:bookmarkEnd w:id="309"/>
      <w:bookmarkEnd w:id="310"/>
    </w:p>
    <w:p w:rsidR="005F01AD" w:rsidRPr="002A082A" w:rsidRDefault="005F01AD" w:rsidP="002A082A"/>
    <w:p w:rsidR="005746E1" w:rsidRDefault="00807E7C" w:rsidP="004D23B9">
      <w:pPr>
        <w:pStyle w:val="BodyText"/>
      </w:pPr>
      <w:r>
        <w:br w:type="page"/>
      </w:r>
      <w:r w:rsidR="005746E1">
        <w:t xml:space="preserve">This Appendix summarizes some of the cost estimate figures used in the Green LTCP-EZ Template Schedules 5A and 5B – CSO CONTROLS. </w:t>
      </w:r>
      <w:r w:rsidR="00FE0A2A">
        <w:t xml:space="preserve">Cost </w:t>
      </w:r>
      <w:r w:rsidR="00502FFC">
        <w:t>information is</w:t>
      </w:r>
      <w:r w:rsidR="00FE0A2A">
        <w:t xml:space="preserve"> relative and depend</w:t>
      </w:r>
      <w:r w:rsidR="00502FFC">
        <w:t>s</w:t>
      </w:r>
      <w:r w:rsidR="00FE0A2A">
        <w:t xml:space="preserve"> on the location and market. L</w:t>
      </w:r>
      <w:r w:rsidR="005746E1">
        <w:t xml:space="preserve">ocalized and/or site-specific costs should be used when they are available, </w:t>
      </w:r>
      <w:r w:rsidR="00446755">
        <w:t xml:space="preserve">because </w:t>
      </w:r>
      <w:r w:rsidR="005746E1">
        <w:t xml:space="preserve">local values will give the most reliable results. </w:t>
      </w:r>
      <w:r w:rsidR="00FE0A2A">
        <w:t xml:space="preserve">Permittees should verify the actual cost for a better understanding of the effective cost analysis. </w:t>
      </w:r>
      <w:r w:rsidR="005746E1">
        <w:t>However, EPA recognizes that local data will not always be available and has provided the information below</w:t>
      </w:r>
      <w:r w:rsidR="00446755">
        <w:t>, which is</w:t>
      </w:r>
      <w:r w:rsidR="005746E1">
        <w:t xml:space="preserve"> based on national data. Descriptions of how the cost estimates were derived are provide</w:t>
      </w:r>
      <w:r w:rsidR="0023393D">
        <w:t>d below.</w:t>
      </w:r>
    </w:p>
    <w:p w:rsidR="005746E1" w:rsidRDefault="005746E1" w:rsidP="004D23B9">
      <w:pPr>
        <w:pStyle w:val="Heading3"/>
      </w:pPr>
      <w:bookmarkStart w:id="311" w:name="_Toc244324739"/>
      <w:bookmarkStart w:id="312" w:name="_Toc244326387"/>
      <w:bookmarkStart w:id="313" w:name="_Toc244332008"/>
      <w:bookmarkStart w:id="314" w:name="_Toc244334896"/>
      <w:r>
        <w:t xml:space="preserve">SCHEDULE 5A – CSO </w:t>
      </w:r>
      <w:r w:rsidR="00557A2A">
        <w:t xml:space="preserve">RUNOFF </w:t>
      </w:r>
      <w:r>
        <w:t xml:space="preserve">CONTROLS </w:t>
      </w:r>
      <w:r w:rsidRPr="00BC3590">
        <w:t>(</w:t>
      </w:r>
      <w:r w:rsidRPr="00CC1FFA">
        <w:t>Green Infrastructure</w:t>
      </w:r>
      <w:r w:rsidRPr="00BC3590">
        <w:t xml:space="preserve"> Runoff Controls)</w:t>
      </w:r>
      <w:bookmarkEnd w:id="311"/>
      <w:bookmarkEnd w:id="312"/>
      <w:bookmarkEnd w:id="313"/>
      <w:bookmarkEnd w:id="314"/>
    </w:p>
    <w:p w:rsidR="0062037C" w:rsidRDefault="005746E1" w:rsidP="004D23B9">
      <w:pPr>
        <w:pStyle w:val="Heading3"/>
      </w:pPr>
      <w:bookmarkStart w:id="315" w:name="_Toc244324740"/>
      <w:bookmarkStart w:id="316" w:name="_Toc244326388"/>
      <w:bookmarkStart w:id="317" w:name="_Toc244332009"/>
      <w:bookmarkStart w:id="318" w:name="_Toc244334897"/>
      <w:r w:rsidRPr="00097A6D">
        <w:t>Line 15 – Unit cost per square foot for green roof installation</w:t>
      </w:r>
      <w:r w:rsidR="0062037C">
        <w:t>.</w:t>
      </w:r>
      <w:bookmarkEnd w:id="315"/>
      <w:bookmarkEnd w:id="316"/>
      <w:bookmarkEnd w:id="317"/>
      <w:bookmarkEnd w:id="318"/>
    </w:p>
    <w:p w:rsidR="005746E1" w:rsidRPr="00B62500" w:rsidRDefault="005746E1" w:rsidP="004D23B9">
      <w:pPr>
        <w:pStyle w:val="BodyText"/>
      </w:pPr>
      <w:r>
        <w:t>The</w:t>
      </w:r>
      <w:r w:rsidRPr="00E4582D">
        <w:t xml:space="preserve"> default value of $20 per square foot</w:t>
      </w:r>
      <w:r>
        <w:t xml:space="preserve"> was chosen as a median value from the </w:t>
      </w:r>
      <w:r w:rsidRPr="00B62500">
        <w:t>published values below:</w:t>
      </w:r>
    </w:p>
    <w:p w:rsidR="005746E1" w:rsidRPr="00B62500" w:rsidRDefault="005746E1" w:rsidP="00C575E4">
      <w:pPr>
        <w:pStyle w:val="bullet"/>
      </w:pPr>
      <w:smartTag w:uri="urn:schemas-microsoft-com:office:smarttags" w:element="place">
        <w:smartTag w:uri="urn:schemas-microsoft-com:office:smarttags" w:element="PlaceName">
          <w:r w:rsidRPr="00B62500">
            <w:t>Low</w:t>
          </w:r>
        </w:smartTag>
        <w:r w:rsidRPr="00B62500">
          <w:t xml:space="preserve"> </w:t>
        </w:r>
        <w:smartTag w:uri="urn:schemas-microsoft-com:office:smarttags" w:element="PlaceName">
          <w:r w:rsidRPr="00B62500">
            <w:t>Impact</w:t>
          </w:r>
        </w:smartTag>
        <w:r w:rsidRPr="00B62500">
          <w:t xml:space="preserve"> </w:t>
        </w:r>
        <w:smartTag w:uri="urn:schemas-microsoft-com:office:smarttags" w:element="PlaceName">
          <w:r w:rsidRPr="00B62500">
            <w:t>Development</w:t>
          </w:r>
        </w:smartTag>
        <w:r w:rsidRPr="00B62500">
          <w:t xml:space="preserve"> </w:t>
        </w:r>
        <w:smartTag w:uri="urn:schemas-microsoft-com:office:smarttags" w:element="PlaceType">
          <w:r w:rsidRPr="00B62500">
            <w:t>Center</w:t>
          </w:r>
        </w:smartTag>
      </w:smartTag>
      <w:r>
        <w:t xml:space="preserve"> - </w:t>
      </w:r>
      <w:r w:rsidRPr="00B62500">
        <w:t>$15 to $20</w:t>
      </w:r>
      <w:r>
        <w:rPr>
          <w:bCs/>
        </w:rPr>
        <w:t>/sq ft</w:t>
      </w:r>
      <w:r w:rsidR="00C575E4">
        <w:rPr>
          <w:bCs/>
        </w:rPr>
        <w:br/>
      </w:r>
      <w:hyperlink r:id="rId108" w:history="1">
        <w:r w:rsidRPr="00FA6577">
          <w:rPr>
            <w:rStyle w:val="Hyperlink"/>
          </w:rPr>
          <w:t>http://www.lid-stormwater.net/greenroofs_cost.htm</w:t>
        </w:r>
      </w:hyperlink>
    </w:p>
    <w:p w:rsidR="0062037C" w:rsidRDefault="005746E1" w:rsidP="00C575E4">
      <w:pPr>
        <w:pStyle w:val="bullet"/>
      </w:pPr>
      <w:r w:rsidRPr="00B62500">
        <w:t xml:space="preserve">Green Roofs for Healthy Cities </w:t>
      </w:r>
      <w:r>
        <w:t xml:space="preserve">- </w:t>
      </w:r>
      <w:r w:rsidRPr="00B62500">
        <w:t>$5 to $20</w:t>
      </w:r>
      <w:r>
        <w:t>/sq ft</w:t>
      </w:r>
      <w:r w:rsidR="00C575E4">
        <w:br/>
      </w:r>
      <w:hyperlink r:id="rId109" w:history="1">
        <w:r w:rsidRPr="00FA6577">
          <w:rPr>
            <w:rStyle w:val="Hyperlink"/>
          </w:rPr>
          <w:t>http://www.greenroofs.org/index.php</w:t>
        </w:r>
      </w:hyperlink>
    </w:p>
    <w:p w:rsidR="005746E1" w:rsidRPr="00B62500" w:rsidRDefault="005746E1" w:rsidP="00C575E4">
      <w:pPr>
        <w:pStyle w:val="bullet"/>
      </w:pPr>
      <w:r>
        <w:t xml:space="preserve">City of </w:t>
      </w:r>
      <w:smartTag w:uri="urn:schemas-microsoft-com:office:smarttags" w:element="place">
        <w:smartTag w:uri="urn:schemas-microsoft-com:office:smarttags" w:element="City">
          <w:r>
            <w:t>Portland</w:t>
          </w:r>
        </w:smartTag>
      </w:smartTag>
      <w:r>
        <w:t>, Bu</w:t>
      </w:r>
      <w:r w:rsidRPr="00EC5D6C">
        <w:t>reau of Environmental Services</w:t>
      </w:r>
      <w:r>
        <w:t>, 2008</w:t>
      </w:r>
      <w:r w:rsidRPr="00EC5D6C">
        <w:t xml:space="preserve"> Cost</w:t>
      </w:r>
      <w:r>
        <w:t xml:space="preserve"> Benefit Evaluation of Ecoroofs - </w:t>
      </w:r>
      <w:r w:rsidRPr="00EC5D6C">
        <w:t>$15.750</w:t>
      </w:r>
      <w:r>
        <w:t>/sq ft</w:t>
      </w:r>
    </w:p>
    <w:p w:rsidR="005746E1" w:rsidRDefault="005746E1" w:rsidP="00C575E4">
      <w:pPr>
        <w:pStyle w:val="bullet"/>
      </w:pPr>
      <w:r>
        <w:t>Wetland Studies and Solutions, Inc. - $31.80/sq ft</w:t>
      </w:r>
      <w:r w:rsidR="00C575E4">
        <w:br/>
      </w:r>
      <w:hyperlink r:id="rId110" w:history="1">
        <w:r w:rsidR="00C575E4" w:rsidRPr="00FA6577">
          <w:rPr>
            <w:rStyle w:val="Hyperlink"/>
          </w:rPr>
          <w:t>http://www.wetlandstudies.com/portals/4/docUpload/WSSI_LID_2007.pdf</w:t>
        </w:r>
      </w:hyperlink>
    </w:p>
    <w:p w:rsidR="005746E1" w:rsidRPr="00097A6D" w:rsidRDefault="005746E1" w:rsidP="004D23B9">
      <w:pPr>
        <w:pStyle w:val="Heading3"/>
      </w:pPr>
      <w:bookmarkStart w:id="319" w:name="_Toc244324741"/>
      <w:bookmarkStart w:id="320" w:name="_Toc244326389"/>
      <w:bookmarkStart w:id="321" w:name="_Toc244332010"/>
      <w:bookmarkStart w:id="322" w:name="_Toc244334898"/>
      <w:r w:rsidRPr="00097A6D">
        <w:t>Line 23 – Unit cost per square foot for bioretention installation.</w:t>
      </w:r>
      <w:bookmarkEnd w:id="319"/>
      <w:bookmarkEnd w:id="320"/>
      <w:bookmarkEnd w:id="321"/>
      <w:bookmarkEnd w:id="322"/>
    </w:p>
    <w:p w:rsidR="005746E1" w:rsidRPr="00B62500" w:rsidRDefault="005746E1" w:rsidP="004D23B9">
      <w:pPr>
        <w:pStyle w:val="BodyText"/>
      </w:pPr>
      <w:r>
        <w:t>The</w:t>
      </w:r>
      <w:r w:rsidRPr="00E4582D">
        <w:t xml:space="preserve"> default value of $</w:t>
      </w:r>
      <w:r>
        <w:t>7</w:t>
      </w:r>
      <w:r w:rsidRPr="00E4582D">
        <w:t xml:space="preserve"> per square foot</w:t>
      </w:r>
      <w:r>
        <w:t xml:space="preserve"> was chosen as a median value from the </w:t>
      </w:r>
      <w:r w:rsidRPr="00B62500">
        <w:t>published values below:</w:t>
      </w:r>
    </w:p>
    <w:p w:rsidR="0062037C" w:rsidRDefault="005746E1" w:rsidP="00C575E4">
      <w:pPr>
        <w:pStyle w:val="bullet"/>
      </w:pPr>
      <w:smartTag w:uri="urn:schemas-microsoft-com:office:smarttags" w:element="place">
        <w:smartTag w:uri="urn:schemas-microsoft-com:office:smarttags" w:element="PlaceName">
          <w:r w:rsidRPr="00B62500">
            <w:t>N</w:t>
          </w:r>
          <w:r w:rsidR="00446755">
            <w:t xml:space="preserve">orth </w:t>
          </w:r>
          <w:r w:rsidRPr="00B62500">
            <w:t>C</w:t>
          </w:r>
          <w:r w:rsidR="00446755">
            <w:t>arolina</w:t>
          </w:r>
        </w:smartTag>
        <w:r w:rsidRPr="00B62500">
          <w:t xml:space="preserve"> </w:t>
        </w:r>
        <w:smartTag w:uri="urn:schemas-microsoft-com:office:smarttags" w:element="PlaceType">
          <w:r w:rsidRPr="00B62500">
            <w:t>State</w:t>
          </w:r>
        </w:smartTag>
      </w:smartTag>
      <w:r>
        <w:t xml:space="preserve"> -</w:t>
      </w:r>
      <w:r w:rsidRPr="00B62500">
        <w:t xml:space="preserve"> $2.32 to $4.65</w:t>
      </w:r>
      <w:r>
        <w:t>/sq ft</w:t>
      </w:r>
    </w:p>
    <w:p w:rsidR="0062037C" w:rsidRDefault="005746E1" w:rsidP="00C575E4">
      <w:pPr>
        <w:pStyle w:val="bullet"/>
      </w:pPr>
      <w:r w:rsidRPr="00B62500">
        <w:t>Brown and Schueler, 1997</w:t>
      </w:r>
      <w:r>
        <w:t xml:space="preserve"> - </w:t>
      </w:r>
      <w:r w:rsidRPr="00B62500">
        <w:t>C = 7.3V</w:t>
      </w:r>
      <w:r w:rsidRPr="00B62500">
        <w:rPr>
          <w:vertAlign w:val="superscript"/>
        </w:rPr>
        <w:t>0.99</w:t>
      </w:r>
      <w:r w:rsidRPr="00B62500">
        <w:t xml:space="preserve"> </w:t>
      </w:r>
      <w:r>
        <w:t xml:space="preserve">with </w:t>
      </w:r>
      <w:r w:rsidRPr="00B62500">
        <w:t>V in ft3</w:t>
      </w:r>
    </w:p>
    <w:p w:rsidR="0062037C" w:rsidRDefault="005746E1" w:rsidP="00C575E4">
      <w:pPr>
        <w:pStyle w:val="bullet"/>
      </w:pPr>
      <w:r w:rsidRPr="00C9346D">
        <w:t>The Economics of Stormwater BMPs in the Mid-Atlantic Region: Final Report</w:t>
      </w:r>
      <w:r w:rsidR="0062037C">
        <w:t>.</w:t>
      </w:r>
    </w:p>
    <w:p w:rsidR="005746E1" w:rsidRPr="00B62500" w:rsidRDefault="005746E1" w:rsidP="00C575E4">
      <w:pPr>
        <w:pStyle w:val="bullet"/>
      </w:pPr>
      <w:r>
        <w:t>Center for Neighborhood Technology - $7/sq ft</w:t>
      </w:r>
      <w:r w:rsidR="00C575E4">
        <w:br/>
      </w:r>
      <w:hyperlink r:id="rId111" w:history="1">
        <w:r w:rsidRPr="00FA6577">
          <w:rPr>
            <w:rStyle w:val="Hyperlink"/>
          </w:rPr>
          <w:t>http://www.cnt.org/natural-resources/demonstration-projects/st-margaret-mary-church-case-study</w:t>
        </w:r>
      </w:hyperlink>
      <w:r>
        <w:t>)</w:t>
      </w:r>
    </w:p>
    <w:p w:rsidR="005746E1" w:rsidRPr="00B62500" w:rsidRDefault="005746E1" w:rsidP="00C575E4">
      <w:pPr>
        <w:pStyle w:val="bullet"/>
      </w:pPr>
      <w:r w:rsidRPr="00B62500">
        <w:t>Bannerman and Considine, 2003</w:t>
      </w:r>
      <w:r>
        <w:t xml:space="preserve"> - </w:t>
      </w:r>
      <w:r w:rsidRPr="00B62500">
        <w:t>$11</w:t>
      </w:r>
      <w:r>
        <w:t>/sq ft</w:t>
      </w:r>
    </w:p>
    <w:p w:rsidR="005746E1" w:rsidRPr="00097A6D" w:rsidRDefault="005746E1" w:rsidP="004D23B9">
      <w:pPr>
        <w:pStyle w:val="Heading3"/>
      </w:pPr>
      <w:bookmarkStart w:id="323" w:name="_Toc244324742"/>
      <w:bookmarkStart w:id="324" w:name="_Toc244326390"/>
      <w:bookmarkStart w:id="325" w:name="_Toc244332011"/>
      <w:bookmarkStart w:id="326" w:name="_Toc244334899"/>
      <w:r w:rsidRPr="00097A6D">
        <w:t>Line 31– Unit cost per square foot for vegetated swale installation.</w:t>
      </w:r>
      <w:bookmarkEnd w:id="323"/>
      <w:bookmarkEnd w:id="324"/>
      <w:bookmarkEnd w:id="325"/>
      <w:bookmarkEnd w:id="326"/>
    </w:p>
    <w:p w:rsidR="005746E1" w:rsidRDefault="005746E1" w:rsidP="004D23B9">
      <w:pPr>
        <w:pStyle w:val="BodyText"/>
      </w:pPr>
      <w:r>
        <w:t>The</w:t>
      </w:r>
      <w:r w:rsidRPr="00E4582D">
        <w:t xml:space="preserve"> default value of $</w:t>
      </w:r>
      <w:r>
        <w:t>15</w:t>
      </w:r>
      <w:r w:rsidRPr="00E4582D">
        <w:t xml:space="preserve"> per square foot</w:t>
      </w:r>
      <w:r>
        <w:t xml:space="preserve"> was chosen as a median value from the </w:t>
      </w:r>
      <w:r w:rsidRPr="00B62500">
        <w:t>published values below:</w:t>
      </w:r>
    </w:p>
    <w:p w:rsidR="005746E1" w:rsidRDefault="005746E1" w:rsidP="00C575E4">
      <w:pPr>
        <w:pStyle w:val="bullet"/>
      </w:pPr>
      <w:r w:rsidRPr="002567EF">
        <w:t xml:space="preserve">City of </w:t>
      </w:r>
      <w:smartTag w:uri="urn:schemas-microsoft-com:office:smarttags" w:element="place">
        <w:smartTag w:uri="urn:schemas-microsoft-com:office:smarttags" w:element="City">
          <w:r w:rsidRPr="002567EF">
            <w:t>Portland</w:t>
          </w:r>
        </w:smartTag>
      </w:smartTag>
      <w:r w:rsidRPr="002567EF">
        <w:t>, B</w:t>
      </w:r>
      <w:r>
        <w:t>u</w:t>
      </w:r>
      <w:r w:rsidRPr="002567EF">
        <w:t>reau of Environmental Services</w:t>
      </w:r>
      <w:r>
        <w:t xml:space="preserve"> -</w:t>
      </w:r>
      <w:r w:rsidRPr="002567EF">
        <w:t xml:space="preserve"> $5.50/sq ft</w:t>
      </w:r>
    </w:p>
    <w:p w:rsidR="005746E1" w:rsidRDefault="005746E1" w:rsidP="00C575E4">
      <w:pPr>
        <w:pStyle w:val="bullet"/>
      </w:pPr>
      <w:smartTag w:uri="urn:schemas-microsoft-com:office:smarttags" w:element="place">
        <w:r w:rsidRPr="002567EF">
          <w:t>Willamette</w:t>
        </w:r>
      </w:smartTag>
      <w:r w:rsidRPr="002567EF">
        <w:t xml:space="preserve"> Watershed Program - Task Memorandum 4.1 August 2005</w:t>
      </w:r>
    </w:p>
    <w:p w:rsidR="0062037C" w:rsidRDefault="005746E1" w:rsidP="00C575E4">
      <w:pPr>
        <w:pStyle w:val="bullet"/>
      </w:pPr>
      <w:r w:rsidRPr="002567EF">
        <w:t>Water Environment Research Federation</w:t>
      </w:r>
      <w:r>
        <w:t xml:space="preserve"> - </w:t>
      </w:r>
      <w:r w:rsidRPr="002567EF">
        <w:t>$15.00/sq ft</w:t>
      </w:r>
    </w:p>
    <w:p w:rsidR="005746E1" w:rsidRDefault="005746E1" w:rsidP="00C575E4">
      <w:pPr>
        <w:pStyle w:val="bullet"/>
      </w:pPr>
      <w:r w:rsidRPr="002567EF">
        <w:t>Low Impact Development Best Management Practices Whole Life Cost Model 2007</w:t>
      </w:r>
    </w:p>
    <w:p w:rsidR="005746E1" w:rsidRDefault="005746E1" w:rsidP="00C575E4">
      <w:pPr>
        <w:pStyle w:val="bullet"/>
      </w:pPr>
      <w:r w:rsidRPr="002567EF">
        <w:t>Center for Neighborhood Technology</w:t>
      </w:r>
      <w:r>
        <w:t xml:space="preserve"> -</w:t>
      </w:r>
      <w:r w:rsidRPr="002567EF">
        <w:t xml:space="preserve"> $24.00/sq ft</w:t>
      </w:r>
      <w:r w:rsidR="00FA6577">
        <w:br/>
      </w:r>
      <w:hyperlink r:id="rId112" w:history="1">
        <w:r w:rsidRPr="00FA6577">
          <w:rPr>
            <w:rStyle w:val="Hyperlink"/>
          </w:rPr>
          <w:t>http://www.cnt.org/natural-resources/demonstration-projects/olgh-case-study</w:t>
        </w:r>
      </w:hyperlink>
    </w:p>
    <w:p w:rsidR="0062037C" w:rsidRDefault="005746E1" w:rsidP="004D23B9">
      <w:pPr>
        <w:pStyle w:val="Heading3"/>
      </w:pPr>
      <w:bookmarkStart w:id="327" w:name="_Toc244324743"/>
      <w:bookmarkStart w:id="328" w:name="_Toc244326391"/>
      <w:bookmarkStart w:id="329" w:name="_Toc244332012"/>
      <w:bookmarkStart w:id="330" w:name="_Toc244334900"/>
      <w:r w:rsidRPr="00097A6D">
        <w:t>Line 38– Unit</w:t>
      </w:r>
      <w:r w:rsidRPr="004D23B9">
        <w:t xml:space="preserve"> </w:t>
      </w:r>
      <w:r w:rsidRPr="00097A6D">
        <w:t>cost per square foot for permeable pavement installation</w:t>
      </w:r>
      <w:r w:rsidR="0062037C">
        <w:t>.</w:t>
      </w:r>
      <w:bookmarkEnd w:id="327"/>
      <w:bookmarkEnd w:id="328"/>
      <w:bookmarkEnd w:id="329"/>
      <w:bookmarkEnd w:id="330"/>
    </w:p>
    <w:p w:rsidR="005746E1" w:rsidRPr="002567EF" w:rsidRDefault="005746E1" w:rsidP="004D23B9">
      <w:pPr>
        <w:pStyle w:val="BodyText"/>
      </w:pPr>
      <w:r w:rsidRPr="002567EF">
        <w:t>The default value of $7 per square foot was chosen as a median value from the published values below:</w:t>
      </w:r>
    </w:p>
    <w:p w:rsidR="0052173E" w:rsidRDefault="005746E1" w:rsidP="00FA6577">
      <w:pPr>
        <w:pStyle w:val="bullet"/>
      </w:pPr>
      <w:smartTag w:uri="urn:schemas-microsoft-com:office:smarttags" w:element="place">
        <w:smartTag w:uri="urn:schemas-microsoft-com:office:smarttags" w:element="PlaceName">
          <w:r w:rsidRPr="002567EF">
            <w:t>Low</w:t>
          </w:r>
        </w:smartTag>
        <w:r w:rsidRPr="002567EF">
          <w:t xml:space="preserve"> </w:t>
        </w:r>
        <w:smartTag w:uri="urn:schemas-microsoft-com:office:smarttags" w:element="PlaceName">
          <w:r w:rsidRPr="002567EF">
            <w:t>Impact</w:t>
          </w:r>
        </w:smartTag>
        <w:r w:rsidRPr="002567EF">
          <w:t xml:space="preserve"> </w:t>
        </w:r>
        <w:smartTag w:uri="urn:schemas-microsoft-com:office:smarttags" w:element="PlaceName">
          <w:r w:rsidRPr="002567EF">
            <w:t>Development</w:t>
          </w:r>
        </w:smartTag>
        <w:r w:rsidRPr="002567EF">
          <w:t xml:space="preserve"> </w:t>
        </w:r>
        <w:smartTag w:uri="urn:schemas-microsoft-com:office:smarttags" w:element="PlaceType">
          <w:r w:rsidRPr="002567EF">
            <w:t>Center</w:t>
          </w:r>
        </w:smartTag>
      </w:smartTag>
      <w:r w:rsidRPr="002567EF">
        <w:t xml:space="preserve"> </w:t>
      </w:r>
      <w:r>
        <w:t xml:space="preserve">- </w:t>
      </w:r>
      <w:r w:rsidRPr="002567EF">
        <w:t>$5.50/sq ft</w:t>
      </w:r>
      <w:r w:rsidR="00FA6577">
        <w:br/>
      </w:r>
      <w:hyperlink r:id="rId113" w:history="1">
        <w:r w:rsidRPr="00FA6577">
          <w:rPr>
            <w:rStyle w:val="Hyperlink"/>
          </w:rPr>
          <w:t>http://www.lowimpactdevelopment.org/lid%20articles/bigbox_final_doc.pdf</w:t>
        </w:r>
      </w:hyperlink>
      <w:r w:rsidRPr="00FA6577">
        <w:t xml:space="preserve"> </w:t>
      </w:r>
    </w:p>
    <w:p w:rsidR="005746E1" w:rsidRDefault="005746E1" w:rsidP="00C575E4">
      <w:pPr>
        <w:pStyle w:val="bullet"/>
      </w:pPr>
      <w:r w:rsidRPr="002567EF">
        <w:t xml:space="preserve">City of </w:t>
      </w:r>
      <w:smartTag w:uri="urn:schemas-microsoft-com:office:smarttags" w:element="City">
        <w:smartTag w:uri="urn:schemas-microsoft-com:office:smarttags" w:element="place">
          <w:r w:rsidRPr="002567EF">
            <w:t>Portland</w:t>
          </w:r>
        </w:smartTag>
      </w:smartTag>
      <w:r w:rsidRPr="002567EF">
        <w:t>, B</w:t>
      </w:r>
      <w:r>
        <w:t>u</w:t>
      </w:r>
      <w:r w:rsidRPr="002567EF">
        <w:t>reau of Environmental Services</w:t>
      </w:r>
      <w:r>
        <w:t xml:space="preserve"> -</w:t>
      </w:r>
      <w:r w:rsidRPr="002567EF">
        <w:t xml:space="preserve"> $</w:t>
      </w:r>
      <w:r>
        <w:t>6.34</w:t>
      </w:r>
      <w:r w:rsidRPr="002567EF">
        <w:t>/sq ft</w:t>
      </w:r>
    </w:p>
    <w:p w:rsidR="005746E1" w:rsidRDefault="005746E1" w:rsidP="00C575E4">
      <w:pPr>
        <w:pStyle w:val="bullet"/>
      </w:pPr>
      <w:smartTag w:uri="urn:schemas-microsoft-com:office:smarttags" w:element="place">
        <w:r w:rsidRPr="002567EF">
          <w:t>Willamette</w:t>
        </w:r>
      </w:smartTag>
      <w:r w:rsidRPr="002567EF">
        <w:t xml:space="preserve"> Watershed Program - Task Memorandum 4.1 August 2005</w:t>
      </w:r>
    </w:p>
    <w:p w:rsidR="005746E1" w:rsidRDefault="005746E1" w:rsidP="00C575E4">
      <w:pPr>
        <w:pStyle w:val="bullet"/>
      </w:pPr>
      <w:r w:rsidRPr="002567EF">
        <w:t>Wetland Studies and Solutions, Inc</w:t>
      </w:r>
      <w:r w:rsidR="00B6221B">
        <w:t>.</w:t>
      </w:r>
      <w:r>
        <w:t xml:space="preserve"> - </w:t>
      </w:r>
      <w:r w:rsidRPr="002567EF">
        <w:t>$7.10/sq ft</w:t>
      </w:r>
      <w:r w:rsidR="00FA6577">
        <w:br/>
      </w:r>
      <w:hyperlink r:id="rId114" w:history="1">
        <w:r w:rsidRPr="00FA6577">
          <w:rPr>
            <w:rStyle w:val="Hyperlink"/>
          </w:rPr>
          <w:t>http://www.wetlandstudies.com/portals/4/docUpload/WSSI_LID_2007.pdf</w:t>
        </w:r>
      </w:hyperlink>
    </w:p>
    <w:p w:rsidR="005746E1" w:rsidRDefault="005746E1" w:rsidP="00C575E4">
      <w:pPr>
        <w:pStyle w:val="bullet"/>
      </w:pPr>
      <w:r w:rsidRPr="002567EF">
        <w:t>PlaNYC 2030 Sustainable Stormwater Management Plan</w:t>
      </w:r>
      <w:r>
        <w:t xml:space="preserve"> - $8.13/sq ft</w:t>
      </w:r>
      <w:r w:rsidR="00FA6577">
        <w:br/>
      </w:r>
      <w:hyperlink r:id="rId115" w:history="1">
        <w:r w:rsidRPr="00FA6577">
          <w:rPr>
            <w:rStyle w:val="Hyperlink"/>
          </w:rPr>
          <w:t>http://www.nyc.gov/html/planyc2030/html/stormwater/stormwater.shtml</w:t>
        </w:r>
      </w:hyperlink>
    </w:p>
    <w:p w:rsidR="005746E1" w:rsidRDefault="005746E1" w:rsidP="00C575E4">
      <w:pPr>
        <w:pStyle w:val="bullet"/>
      </w:pPr>
      <w:smartTag w:uri="urn:schemas-microsoft-com:office:smarttags" w:element="place">
        <w:smartTag w:uri="urn:schemas-microsoft-com:office:smarttags" w:element="PlaceName">
          <w:r w:rsidRPr="004243BE">
            <w:t>North Carolina</w:t>
          </w:r>
        </w:smartTag>
        <w:r w:rsidRPr="004243BE">
          <w:t xml:space="preserve"> </w:t>
        </w:r>
        <w:smartTag w:uri="urn:schemas-microsoft-com:office:smarttags" w:element="PlaceName">
          <w:r w:rsidRPr="004243BE">
            <w:t>Green</w:t>
          </w:r>
        </w:smartTag>
        <w:r w:rsidRPr="004243BE">
          <w:t xml:space="preserve"> </w:t>
        </w:r>
        <w:smartTag w:uri="urn:schemas-microsoft-com:office:smarttags" w:element="PlaceType">
          <w:r w:rsidRPr="004243BE">
            <w:t>Building</w:t>
          </w:r>
        </w:smartTag>
      </w:smartTag>
      <w:r w:rsidRPr="004243BE">
        <w:t xml:space="preserve"> Technology Database</w:t>
      </w:r>
      <w:r>
        <w:t xml:space="preserve"> - $11.60</w:t>
      </w:r>
      <w:r w:rsidR="00FA6577">
        <w:br/>
      </w:r>
      <w:hyperlink r:id="rId116" w:history="1">
        <w:r w:rsidRPr="00FA6577">
          <w:rPr>
            <w:rStyle w:val="Hyperlink"/>
          </w:rPr>
          <w:t>http://www.ncgreenbuilding.org</w:t>
        </w:r>
      </w:hyperlink>
    </w:p>
    <w:p w:rsidR="005746E1" w:rsidRPr="00097A6D" w:rsidRDefault="005746E1" w:rsidP="004D23B9">
      <w:pPr>
        <w:pStyle w:val="Heading3"/>
      </w:pPr>
      <w:bookmarkStart w:id="331" w:name="_Toc244324744"/>
      <w:bookmarkStart w:id="332" w:name="_Toc244326392"/>
      <w:bookmarkStart w:id="333" w:name="_Toc244332013"/>
      <w:bookmarkStart w:id="334" w:name="_Toc244334901"/>
      <w:r w:rsidRPr="00097A6D">
        <w:t>Line 46– Unit cost per rain barrel/cistern capacity (gallons).</w:t>
      </w:r>
      <w:bookmarkEnd w:id="331"/>
      <w:bookmarkEnd w:id="332"/>
      <w:bookmarkEnd w:id="333"/>
      <w:bookmarkEnd w:id="334"/>
    </w:p>
    <w:p w:rsidR="005746E1" w:rsidRDefault="005746E1" w:rsidP="004D23B9">
      <w:pPr>
        <w:pStyle w:val="BodyText"/>
      </w:pPr>
      <w:r>
        <w:t>The</w:t>
      </w:r>
      <w:r w:rsidRPr="00E4582D">
        <w:t xml:space="preserve"> default value of $</w:t>
      </w:r>
      <w:r>
        <w:t>1.25</w:t>
      </w:r>
      <w:r w:rsidRPr="00E4582D">
        <w:t xml:space="preserve"> per </w:t>
      </w:r>
      <w:r>
        <w:t xml:space="preserve">gallon was chosen as a median value from the </w:t>
      </w:r>
      <w:r w:rsidRPr="00B62500">
        <w:t>published values below:</w:t>
      </w:r>
    </w:p>
    <w:p w:rsidR="005746E1" w:rsidRDefault="005746E1" w:rsidP="00C575E4">
      <w:pPr>
        <w:pStyle w:val="bullet"/>
      </w:pPr>
      <w:r w:rsidRPr="004243BE">
        <w:t xml:space="preserve">Metropolitan Water Reclamation District of Greater </w:t>
      </w:r>
      <w:smartTag w:uri="urn:schemas-microsoft-com:office:smarttags" w:element="place">
        <w:smartTag w:uri="urn:schemas-microsoft-com:office:smarttags" w:element="City">
          <w:r w:rsidRPr="004243BE">
            <w:t>Chicago</w:t>
          </w:r>
        </w:smartTag>
      </w:smartTag>
      <w:r>
        <w:t xml:space="preserve"> – $0.72/gal </w:t>
      </w:r>
      <w:r w:rsidRPr="00FA6577">
        <w:rPr>
          <w:rStyle w:val="Hyperlink"/>
        </w:rPr>
        <w:t>http://www.mwrd.org/irj/portal/anonymous/rainbarrel</w:t>
      </w:r>
    </w:p>
    <w:p w:rsidR="0062037C" w:rsidRDefault="005746E1" w:rsidP="00C575E4">
      <w:pPr>
        <w:pStyle w:val="bullet"/>
      </w:pPr>
      <w:r w:rsidRPr="002567EF">
        <w:t>Water Environment Research Federation</w:t>
      </w:r>
      <w:r>
        <w:t xml:space="preserve"> - </w:t>
      </w:r>
      <w:r w:rsidRPr="002567EF">
        <w:t>$</w:t>
      </w:r>
      <w:r>
        <w:t>1.45/gal</w:t>
      </w:r>
    </w:p>
    <w:p w:rsidR="005746E1" w:rsidRDefault="005746E1" w:rsidP="00C575E4">
      <w:pPr>
        <w:pStyle w:val="bullet"/>
      </w:pPr>
      <w:r w:rsidRPr="002567EF">
        <w:t>Low Impact Development Best Management Practices Whole Life Cost Model 2007</w:t>
      </w:r>
    </w:p>
    <w:p w:rsidR="005746E1" w:rsidRDefault="006F697D" w:rsidP="004D23B9">
      <w:pPr>
        <w:pStyle w:val="Heading3"/>
      </w:pPr>
      <w:bookmarkStart w:id="335" w:name="_Toc244324745"/>
      <w:bookmarkStart w:id="336" w:name="_Toc244326393"/>
      <w:bookmarkStart w:id="337" w:name="_Toc244332014"/>
      <w:bookmarkStart w:id="338" w:name="_Toc244334902"/>
      <w:r>
        <w:t>SCHEDULE 5</w:t>
      </w:r>
      <w:r w:rsidR="005746E1">
        <w:t xml:space="preserve">B – CSO </w:t>
      </w:r>
      <w:r w:rsidR="00557A2A">
        <w:t xml:space="preserve">NETWORK and WWTP </w:t>
      </w:r>
      <w:r w:rsidR="005746E1">
        <w:t>CONTROLS (</w:t>
      </w:r>
      <w:r w:rsidRPr="00706250">
        <w:t>Green Infrastructure Controls</w:t>
      </w:r>
      <w:r w:rsidDel="00557A2A">
        <w:t xml:space="preserve"> </w:t>
      </w:r>
      <w:r w:rsidR="005746E1">
        <w:t xml:space="preserve">Network and </w:t>
      </w:r>
      <w:r w:rsidR="005746E1" w:rsidRPr="004D23B9">
        <w:t>W</w:t>
      </w:r>
      <w:r w:rsidR="005746E1">
        <w:t>WTP Controls)</w:t>
      </w:r>
      <w:bookmarkEnd w:id="335"/>
      <w:bookmarkEnd w:id="336"/>
      <w:bookmarkEnd w:id="337"/>
      <w:bookmarkEnd w:id="338"/>
    </w:p>
    <w:p w:rsidR="005746E1" w:rsidRDefault="005746E1" w:rsidP="004D23B9">
      <w:pPr>
        <w:pStyle w:val="Heading3"/>
      </w:pPr>
      <w:bookmarkStart w:id="339" w:name="_Toc244324746"/>
      <w:bookmarkStart w:id="340" w:name="_Toc244326394"/>
      <w:bookmarkStart w:id="341" w:name="_Toc244332015"/>
      <w:bookmarkStart w:id="342" w:name="_Toc244334903"/>
      <w:r>
        <w:t>Line 5 –Unit</w:t>
      </w:r>
      <w:r w:rsidRPr="004D23B9">
        <w:t xml:space="preserve"> </w:t>
      </w:r>
      <w:r>
        <w:t>cost of primary treatment per MGD</w:t>
      </w:r>
      <w:bookmarkEnd w:id="339"/>
      <w:bookmarkEnd w:id="340"/>
      <w:bookmarkEnd w:id="341"/>
      <w:bookmarkEnd w:id="342"/>
    </w:p>
    <w:p w:rsidR="005746E1" w:rsidRPr="00C575E4" w:rsidRDefault="005746E1" w:rsidP="004D23B9">
      <w:pPr>
        <w:pStyle w:val="BodyText"/>
      </w:pPr>
      <w:r w:rsidRPr="00C575E4">
        <w:t xml:space="preserve">EPA’s document </w:t>
      </w:r>
      <w:r w:rsidRPr="00C575E4">
        <w:rPr>
          <w:i/>
        </w:rPr>
        <w:t>Cost of Urban Storm Water Control</w:t>
      </w:r>
      <w:r w:rsidRPr="00C575E4">
        <w:t xml:space="preserve"> (EPA 600/R-02/021), January 2002, uses the following equation to estimate construction costs for off-line storage areas:</w:t>
      </w:r>
    </w:p>
    <w:p w:rsidR="005746E1" w:rsidRPr="00C575E4" w:rsidRDefault="00B6221B" w:rsidP="005746E1">
      <w:pPr>
        <w:spacing w:after="120"/>
        <w:rPr>
          <w:rFonts w:cs="Arial"/>
          <w:szCs w:val="20"/>
          <w:vertAlign w:val="superscript"/>
        </w:rPr>
      </w:pPr>
      <w:r w:rsidRPr="00C575E4">
        <w:rPr>
          <w:rFonts w:cs="Arial"/>
          <w:szCs w:val="20"/>
        </w:rPr>
        <w:tab/>
      </w:r>
      <w:r w:rsidR="005746E1" w:rsidRPr="00C575E4">
        <w:rPr>
          <w:rFonts w:cs="Arial"/>
          <w:i/>
          <w:szCs w:val="20"/>
        </w:rPr>
        <w:t>C</w:t>
      </w:r>
      <w:r w:rsidR="005746E1" w:rsidRPr="00C575E4">
        <w:rPr>
          <w:rFonts w:cs="Arial"/>
          <w:szCs w:val="20"/>
        </w:rPr>
        <w:t xml:space="preserve"> = 2980</w:t>
      </w:r>
      <w:r w:rsidR="005746E1" w:rsidRPr="00C575E4">
        <w:rPr>
          <w:rFonts w:cs="Arial"/>
          <w:i/>
          <w:szCs w:val="20"/>
        </w:rPr>
        <w:t>V</w:t>
      </w:r>
      <w:r w:rsidR="005746E1" w:rsidRPr="00C575E4">
        <w:rPr>
          <w:rFonts w:cs="Arial"/>
          <w:szCs w:val="20"/>
          <w:vertAlign w:val="superscript"/>
        </w:rPr>
        <w:t>0.62</w:t>
      </w:r>
    </w:p>
    <w:p w:rsidR="0062037C" w:rsidRPr="00C575E4" w:rsidRDefault="00B6221B" w:rsidP="005746E1">
      <w:pPr>
        <w:spacing w:after="120"/>
        <w:rPr>
          <w:rFonts w:cs="Arial"/>
          <w:szCs w:val="20"/>
        </w:rPr>
      </w:pPr>
      <w:r w:rsidRPr="00C575E4">
        <w:rPr>
          <w:rFonts w:cs="Arial"/>
          <w:szCs w:val="20"/>
        </w:rPr>
        <w:t>w</w:t>
      </w:r>
      <w:r w:rsidR="005746E1" w:rsidRPr="00C575E4">
        <w:rPr>
          <w:rFonts w:cs="Arial"/>
          <w:szCs w:val="20"/>
        </w:rPr>
        <w:t>here</w:t>
      </w:r>
    </w:p>
    <w:p w:rsidR="005746E1" w:rsidRPr="00C575E4" w:rsidRDefault="00B6221B" w:rsidP="005746E1">
      <w:pPr>
        <w:spacing w:after="120"/>
        <w:rPr>
          <w:rFonts w:cs="Arial"/>
          <w:szCs w:val="20"/>
        </w:rPr>
      </w:pPr>
      <w:r w:rsidRPr="00C575E4">
        <w:rPr>
          <w:rFonts w:cs="Arial"/>
          <w:szCs w:val="20"/>
        </w:rPr>
        <w:tab/>
      </w:r>
      <w:r w:rsidR="005746E1" w:rsidRPr="00C575E4">
        <w:rPr>
          <w:rFonts w:cs="Arial"/>
          <w:i/>
          <w:szCs w:val="20"/>
        </w:rPr>
        <w:t>C</w:t>
      </w:r>
      <w:r w:rsidR="005746E1" w:rsidRPr="00C575E4">
        <w:rPr>
          <w:rFonts w:cs="Arial"/>
          <w:szCs w:val="20"/>
        </w:rPr>
        <w:t xml:space="preserve"> = construction cost ($ millions), in 1999 dollars</w:t>
      </w:r>
    </w:p>
    <w:p w:rsidR="005746E1" w:rsidRPr="00C575E4" w:rsidRDefault="00B6221B" w:rsidP="005746E1">
      <w:pPr>
        <w:spacing w:after="120"/>
        <w:rPr>
          <w:rFonts w:cs="Arial"/>
          <w:szCs w:val="20"/>
        </w:rPr>
      </w:pPr>
      <w:r w:rsidRPr="00C575E4">
        <w:rPr>
          <w:rFonts w:cs="Arial"/>
          <w:szCs w:val="20"/>
        </w:rPr>
        <w:tab/>
      </w:r>
      <w:r w:rsidR="005746E1" w:rsidRPr="00C575E4">
        <w:rPr>
          <w:rFonts w:cs="Arial"/>
          <w:i/>
          <w:szCs w:val="20"/>
        </w:rPr>
        <w:t>V</w:t>
      </w:r>
      <w:r w:rsidR="005746E1" w:rsidRPr="00C575E4">
        <w:rPr>
          <w:rFonts w:cs="Arial"/>
          <w:szCs w:val="20"/>
        </w:rPr>
        <w:t xml:space="preserve"> = volume of storage system, in MG</w:t>
      </w:r>
    </w:p>
    <w:p w:rsidR="005746E1" w:rsidRPr="00C575E4" w:rsidRDefault="005746E1" w:rsidP="004D23B9">
      <w:pPr>
        <w:pStyle w:val="BodyText"/>
      </w:pPr>
      <w:r w:rsidRPr="00C575E4">
        <w:t>The document indicates that this calculation is valid where 0.15 MG &lt; volume &lt; 30 MG</w:t>
      </w:r>
    </w:p>
    <w:p w:rsidR="005746E1" w:rsidRPr="00C575E4" w:rsidRDefault="005746E1" w:rsidP="004D23B9">
      <w:pPr>
        <w:pStyle w:val="BodyText"/>
      </w:pPr>
      <w:r w:rsidRPr="00C575E4">
        <w:t>In addition to this equation, one cost value was collected from the literature. This cost is summarized below:</w:t>
      </w:r>
    </w:p>
    <w:p w:rsidR="005746E1" w:rsidRDefault="005746E1" w:rsidP="00C575E4">
      <w:pPr>
        <w:pStyle w:val="bullet"/>
      </w:pPr>
      <w:r>
        <w:t xml:space="preserve">Chamber Creek WWTP $433,500/MG for primary treatment. </w:t>
      </w:r>
      <w:hyperlink r:id="rId117" w:history="1">
        <w:r w:rsidRPr="00FA6577">
          <w:rPr>
            <w:rStyle w:val="Hyperlink"/>
          </w:rPr>
          <w:t>http://www.co.pierce.wa.us/xml/services/home/environ/planning/Appendix%20I.pdf</w:t>
        </w:r>
      </w:hyperlink>
    </w:p>
    <w:p w:rsidR="005746E1" w:rsidRDefault="005746E1" w:rsidP="004D23B9">
      <w:pPr>
        <w:pStyle w:val="Heading3"/>
      </w:pPr>
      <w:bookmarkStart w:id="343" w:name="_Toc244324747"/>
      <w:bookmarkStart w:id="344" w:name="_Toc244326395"/>
      <w:bookmarkStart w:id="345" w:name="_Toc244332016"/>
      <w:bookmarkStart w:id="346" w:name="_Toc244334904"/>
      <w:r>
        <w:t>Line 21 – Unit cost for separation per acre</w:t>
      </w:r>
      <w:bookmarkEnd w:id="343"/>
      <w:bookmarkEnd w:id="344"/>
      <w:bookmarkEnd w:id="345"/>
      <w:bookmarkEnd w:id="346"/>
    </w:p>
    <w:p w:rsidR="005746E1" w:rsidRDefault="005746E1" w:rsidP="004D23B9">
      <w:pPr>
        <w:pStyle w:val="BodyText"/>
      </w:pPr>
      <w:r>
        <w:t>Costs/acre of sewer separated:</w:t>
      </w:r>
    </w:p>
    <w:p w:rsidR="005746E1" w:rsidRDefault="005746E1" w:rsidP="00C575E4">
      <w:pPr>
        <w:pStyle w:val="bullet"/>
      </w:pPr>
      <w:smartTag w:uri="urn:schemas-microsoft-com:office:smarttags" w:element="place">
        <w:smartTag w:uri="urn:schemas-microsoft-com:office:smarttags" w:element="City">
          <w:r>
            <w:t>Seaford</w:t>
          </w:r>
        </w:smartTag>
        <w:r>
          <w:t xml:space="preserve">, </w:t>
        </w:r>
        <w:smartTag w:uri="urn:schemas-microsoft-com:office:smarttags" w:element="State">
          <w:r w:rsidR="009009F8">
            <w:t>Delaware</w:t>
          </w:r>
        </w:smartTag>
      </w:smartTag>
      <w:r>
        <w:t>: $1,750</w:t>
      </w:r>
    </w:p>
    <w:p w:rsidR="005746E1" w:rsidRDefault="005746E1" w:rsidP="00C575E4">
      <w:pPr>
        <w:pStyle w:val="bullet"/>
      </w:pPr>
      <w:r>
        <w:t xml:space="preserve">Skokie/Wilmette, </w:t>
      </w:r>
      <w:smartTag w:uri="urn:schemas-microsoft-com:office:smarttags" w:element="State">
        <w:smartTag w:uri="urn:schemas-microsoft-com:office:smarttags" w:element="place">
          <w:r w:rsidR="009009F8">
            <w:t>Illinois</w:t>
          </w:r>
        </w:smartTag>
      </w:smartTag>
      <w:r>
        <w:t>: $31,397</w:t>
      </w:r>
    </w:p>
    <w:p w:rsidR="005746E1" w:rsidRDefault="005746E1" w:rsidP="00C575E4">
      <w:pPr>
        <w:pStyle w:val="bullet"/>
      </w:pPr>
      <w:smartTag w:uri="urn:schemas-microsoft-com:office:smarttags" w:element="place">
        <w:smartTag w:uri="urn:schemas-microsoft-com:office:smarttags" w:element="City">
          <w:r>
            <w:t>St. Paul</w:t>
          </w:r>
        </w:smartTag>
        <w:r>
          <w:t xml:space="preserve">, </w:t>
        </w:r>
        <w:smartTag w:uri="urn:schemas-microsoft-com:office:smarttags" w:element="State">
          <w:r w:rsidR="009009F8">
            <w:t>Minnesota</w:t>
          </w:r>
        </w:smartTag>
      </w:smartTag>
      <w:r>
        <w:t>: $17,730</w:t>
      </w:r>
    </w:p>
    <w:p w:rsidR="005746E1" w:rsidRDefault="005746E1" w:rsidP="00C575E4">
      <w:pPr>
        <w:pStyle w:val="bullet"/>
      </w:pPr>
      <w:smartTag w:uri="urn:schemas-microsoft-com:office:smarttags" w:element="place">
        <w:smartTag w:uri="urn:schemas-microsoft-com:office:smarttags" w:element="City">
          <w:r>
            <w:t>Portland</w:t>
          </w:r>
        </w:smartTag>
        <w:r>
          <w:t xml:space="preserve">, </w:t>
        </w:r>
        <w:smartTag w:uri="urn:schemas-microsoft-com:office:smarttags" w:element="State">
          <w:r w:rsidR="009009F8">
            <w:t>Oregon</w:t>
          </w:r>
        </w:smartTag>
      </w:smartTag>
      <w:r>
        <w:t>: $19,000</w:t>
      </w:r>
    </w:p>
    <w:p w:rsidR="0052173E" w:rsidRDefault="005746E1" w:rsidP="00C575E4">
      <w:pPr>
        <w:pStyle w:val="bullet"/>
      </w:pPr>
      <w:smartTag w:uri="urn:schemas-microsoft-com:office:smarttags" w:element="place">
        <w:smartTag w:uri="urn:schemas-microsoft-com:office:smarttags" w:element="City">
          <w:r>
            <w:t>Providence</w:t>
          </w:r>
        </w:smartTag>
        <w:r>
          <w:t xml:space="preserve">, </w:t>
        </w:r>
        <w:smartTag w:uri="urn:schemas-microsoft-com:office:smarttags" w:element="State">
          <w:r w:rsidR="009009F8">
            <w:t>Rhode Island</w:t>
          </w:r>
        </w:smartTag>
      </w:smartTag>
      <w:r>
        <w:t>: $81,000</w:t>
      </w:r>
      <w:r w:rsidR="00C575E4">
        <w:br/>
      </w:r>
      <w:r>
        <w:t xml:space="preserve">These costs came from EPA’s </w:t>
      </w:r>
      <w:r w:rsidRPr="00B6221B">
        <w:rPr>
          <w:i/>
        </w:rPr>
        <w:t>Report to Congress: Impacts and Control of CSOs and SSOs</w:t>
      </w:r>
      <w:r>
        <w:t>, August 2004 (EPA 833-R-04-001).</w:t>
      </w:r>
    </w:p>
    <w:p w:rsidR="005746E1" w:rsidRDefault="005746E1" w:rsidP="00C575E4">
      <w:pPr>
        <w:pStyle w:val="bullet"/>
      </w:pPr>
      <w:r>
        <w:t xml:space="preserve">Nashville Phase I – $37,910 ($6,634,372 for 175 acres) </w:t>
      </w:r>
      <w:hyperlink r:id="rId118" w:history="1">
        <w:r>
          <w:rPr>
            <w:rStyle w:val="Hyperlink"/>
            <w:sz w:val="22"/>
            <w:szCs w:val="22"/>
          </w:rPr>
          <w:t>http://www.atlantaga.gov/client_resources/mayorsoffice/special%20reports-archive/csositev.pdf</w:t>
        </w:r>
      </w:hyperlink>
    </w:p>
    <w:p w:rsidR="005746E1" w:rsidRDefault="005746E1" w:rsidP="00C575E4">
      <w:pPr>
        <w:pStyle w:val="bullet"/>
      </w:pPr>
      <w:smartTag w:uri="urn:schemas-microsoft-com:office:smarttags" w:element="place">
        <w:smartTag w:uri="urn:schemas-microsoft-com:office:smarttags" w:element="City">
          <w:r>
            <w:t>Nashville</w:t>
          </w:r>
        </w:smartTag>
      </w:smartTag>
      <w:r>
        <w:t xml:space="preserve"> Phase II – $23,909 ($12,552,277 for 525 acres) </w:t>
      </w:r>
      <w:hyperlink r:id="rId119" w:history="1">
        <w:r>
          <w:rPr>
            <w:rStyle w:val="Hyperlink"/>
            <w:sz w:val="22"/>
            <w:szCs w:val="22"/>
          </w:rPr>
          <w:t>http://www.atlantaga.gov/client_resources/mayorsoffice/special%20reports-archive/csositev.pdf</w:t>
        </w:r>
      </w:hyperlink>
    </w:p>
    <w:p w:rsidR="005746E1" w:rsidRDefault="005746E1" w:rsidP="00C575E4">
      <w:pPr>
        <w:pStyle w:val="bullet"/>
      </w:pPr>
      <w:smartTag w:uri="urn:schemas-microsoft-com:office:smarttags" w:element="City">
        <w:smartTag w:uri="urn:schemas-microsoft-com:office:smarttags" w:element="place">
          <w:r>
            <w:t>Boston</w:t>
          </w:r>
        </w:smartTag>
      </w:smartTag>
      <w:r>
        <w:t xml:space="preserve"> – ranged from $60,000/acre for partially separated residential neighborhoods to $190,000/acre for completely combined downtown. </w:t>
      </w:r>
      <w:hyperlink r:id="rId120" w:history="1">
        <w:r>
          <w:rPr>
            <w:rStyle w:val="Hyperlink"/>
            <w:sz w:val="22"/>
            <w:szCs w:val="22"/>
          </w:rPr>
          <w:t>http://books.nap.edu/books/0309048265/html/357.html</w:t>
        </w:r>
      </w:hyperlink>
    </w:p>
    <w:p w:rsidR="005746E1" w:rsidRDefault="005746E1" w:rsidP="00C575E4">
      <w:pPr>
        <w:pStyle w:val="bullet"/>
      </w:pPr>
      <w:smartTag w:uri="urn:schemas-microsoft-com:office:smarttags" w:element="City">
        <w:smartTag w:uri="urn:schemas-microsoft-com:office:smarttags" w:element="place">
          <w:r>
            <w:t>Atlanta</w:t>
          </w:r>
        </w:smartTag>
      </w:smartTag>
      <w:r>
        <w:t xml:space="preserve"> - $41,000/acre.</w:t>
      </w:r>
      <w:r>
        <w:br/>
      </w:r>
      <w:r w:rsidRPr="00381D66">
        <w:t>http://www.atlantaga.gov/client_resources/mayorsoffice/special%20reports-archive/csp.pdf</w:t>
      </w:r>
    </w:p>
    <w:p w:rsidR="005746E1" w:rsidRDefault="005746E1" w:rsidP="00C575E4">
      <w:pPr>
        <w:pStyle w:val="bullet"/>
        <w:rPr>
          <w:lang w:val="it-IT"/>
        </w:rPr>
      </w:pPr>
      <w:r>
        <w:rPr>
          <w:lang w:val="it-IT"/>
        </w:rPr>
        <w:t>DCWASA - $360,000/acre.</w:t>
      </w:r>
      <w:r>
        <w:rPr>
          <w:lang w:val="it-IT"/>
        </w:rPr>
        <w:br/>
      </w:r>
      <w:hyperlink r:id="rId121" w:history="1">
        <w:r>
          <w:rPr>
            <w:rStyle w:val="Hyperlink"/>
            <w:sz w:val="22"/>
            <w:szCs w:val="22"/>
            <w:lang w:val="it-IT"/>
          </w:rPr>
          <w:t>http://www.dcwasa.com/news/publications/Ops%20Minutes%20July%202004.pdf</w:t>
        </w:r>
      </w:hyperlink>
    </w:p>
    <w:p w:rsidR="005746E1" w:rsidRPr="004D23B9" w:rsidRDefault="005746E1" w:rsidP="004D23B9">
      <w:pPr>
        <w:pStyle w:val="BodyText"/>
        <w:rPr>
          <w:szCs w:val="20"/>
        </w:rPr>
      </w:pPr>
      <w:r w:rsidRPr="00A64758">
        <w:rPr>
          <w:rStyle w:val="Bold"/>
        </w:rPr>
        <w:t>Summary:</w:t>
      </w:r>
      <w:r w:rsidRPr="004D23B9">
        <w:rPr>
          <w:szCs w:val="20"/>
        </w:rPr>
        <w:t xml:space="preserve">  Sewer separation costs an average of approximately $40,000/acre. This cost can be higher if the area to be separated is in a congested downtown.</w:t>
      </w:r>
    </w:p>
    <w:p w:rsidR="005746E1" w:rsidRPr="004D23B9" w:rsidRDefault="005746E1" w:rsidP="004D23B9">
      <w:pPr>
        <w:pStyle w:val="BodyText"/>
        <w:rPr>
          <w:szCs w:val="20"/>
        </w:rPr>
      </w:pPr>
      <w:r w:rsidRPr="004D23B9">
        <w:rPr>
          <w:szCs w:val="20"/>
        </w:rPr>
        <w:t>Sewer separation costs per linear foot of sewer separated:</w:t>
      </w:r>
    </w:p>
    <w:p w:rsidR="005746E1" w:rsidRPr="004D23B9" w:rsidRDefault="005746E1" w:rsidP="00C575E4">
      <w:pPr>
        <w:pStyle w:val="bullet"/>
      </w:pPr>
      <w:r w:rsidRPr="004D23B9">
        <w:t xml:space="preserve">Harbor Brook and </w:t>
      </w:r>
      <w:smartTag w:uri="urn:schemas-microsoft-com:office:smarttags" w:element="City">
        <w:r w:rsidRPr="004D23B9">
          <w:t>Clinton</w:t>
        </w:r>
      </w:smartTag>
      <w:r w:rsidRPr="004D23B9">
        <w:t xml:space="preserve"> sewer separation projects, </w:t>
      </w:r>
      <w:smartTag w:uri="urn:schemas-microsoft-com:office:smarttags" w:element="place">
        <w:smartTag w:uri="urn:schemas-microsoft-com:office:smarttags" w:element="City">
          <w:r w:rsidRPr="004D23B9">
            <w:t>Syracuse</w:t>
          </w:r>
        </w:smartTag>
        <w:r w:rsidRPr="004D23B9">
          <w:t xml:space="preserve">, </w:t>
        </w:r>
        <w:smartTag w:uri="urn:schemas-microsoft-com:office:smarttags" w:element="State">
          <w:r w:rsidR="008138D2" w:rsidRPr="004D23B9">
            <w:t>New York</w:t>
          </w:r>
        </w:smartTag>
      </w:smartTag>
      <w:r w:rsidRPr="004D23B9">
        <w:t xml:space="preserve">, 2000. Cost was $2,311,126 for 3812 feet of separated pipe, or $606/ft. </w:t>
      </w:r>
      <w:hyperlink r:id="rId122" w:history="1">
        <w:r w:rsidRPr="004D23B9">
          <w:rPr>
            <w:rStyle w:val="Hyperlink"/>
          </w:rPr>
          <w:t>http://www.lake.onondaga.ny.us/olpdf/ol303ad.pdf</w:t>
        </w:r>
      </w:hyperlink>
    </w:p>
    <w:p w:rsidR="0062037C" w:rsidRPr="004D23B9" w:rsidRDefault="005746E1" w:rsidP="00C575E4">
      <w:pPr>
        <w:pStyle w:val="bullet"/>
      </w:pPr>
      <w:smartTag w:uri="urn:schemas-microsoft-com:office:smarttags" w:element="place">
        <w:smartTag w:uri="urn:schemas-microsoft-com:office:smarttags" w:element="PlaceName">
          <w:r w:rsidRPr="004D23B9">
            <w:t>Rouge</w:t>
          </w:r>
        </w:smartTag>
        <w:r w:rsidRPr="004D23B9">
          <w:t xml:space="preserve"> </w:t>
        </w:r>
        <w:smartTag w:uri="urn:schemas-microsoft-com:office:smarttags" w:element="PlaceType">
          <w:r w:rsidRPr="004D23B9">
            <w:t>River</w:t>
          </w:r>
        </w:smartTag>
      </w:smartTag>
      <w:r w:rsidRPr="004D23B9">
        <w:t xml:space="preserve"> project - $175-$220/ft (CSO and SSO)</w:t>
      </w:r>
    </w:p>
    <w:p w:rsidR="005746E1" w:rsidRPr="004D23B9" w:rsidRDefault="005746E1" w:rsidP="00C575E4">
      <w:pPr>
        <w:pStyle w:val="bullet"/>
      </w:pPr>
      <w:smartTag w:uri="urn:schemas-microsoft-com:office:smarttags" w:element="City">
        <w:r w:rsidRPr="004D23B9">
          <w:t>Portsmouth</w:t>
        </w:r>
      </w:smartTag>
      <w:r w:rsidRPr="004D23B9">
        <w:t xml:space="preserve">, </w:t>
      </w:r>
      <w:smartTag w:uri="urn:schemas-microsoft-com:office:smarttags" w:element="State">
        <w:r w:rsidR="009009F8" w:rsidRPr="004D23B9">
          <w:t>New Hampshire</w:t>
        </w:r>
      </w:smartTag>
      <w:r w:rsidR="009009F8" w:rsidRPr="004D23B9">
        <w:t xml:space="preserve"> </w:t>
      </w:r>
      <w:r w:rsidRPr="004D23B9">
        <w:t xml:space="preserve">- ~$500/ft (personal communication with Peter Rice, </w:t>
      </w:r>
      <w:smartTag w:uri="urn:schemas-microsoft-com:office:smarttags" w:element="City">
        <w:smartTag w:uri="urn:schemas-microsoft-com:office:smarttags" w:element="place">
          <w:r w:rsidRPr="004D23B9">
            <w:t>Portsmouth</w:t>
          </w:r>
        </w:smartTag>
      </w:smartTag>
      <w:r w:rsidRPr="004D23B9">
        <w:t>).</w:t>
      </w:r>
    </w:p>
    <w:p w:rsidR="005746E1" w:rsidRDefault="005746E1" w:rsidP="004D23B9">
      <w:pPr>
        <w:pStyle w:val="Heading3"/>
      </w:pPr>
      <w:bookmarkStart w:id="347" w:name="_Toc244324748"/>
      <w:bookmarkStart w:id="348" w:name="_Toc244326396"/>
      <w:bookmarkStart w:id="349" w:name="_Toc244332017"/>
      <w:bookmarkStart w:id="350" w:name="_Toc244334905"/>
      <w:r>
        <w:t>Line 24 Unit cost per MG of storage</w:t>
      </w:r>
      <w:bookmarkEnd w:id="347"/>
      <w:bookmarkEnd w:id="348"/>
      <w:bookmarkEnd w:id="349"/>
      <w:bookmarkEnd w:id="350"/>
    </w:p>
    <w:p w:rsidR="005746E1" w:rsidRPr="004D23B9" w:rsidRDefault="005746E1" w:rsidP="004D23B9">
      <w:pPr>
        <w:pStyle w:val="BodyText"/>
        <w:rPr>
          <w:szCs w:val="20"/>
        </w:rPr>
      </w:pPr>
      <w:r w:rsidRPr="004D23B9">
        <w:rPr>
          <w:szCs w:val="20"/>
        </w:rPr>
        <w:t xml:space="preserve">EPA’s document </w:t>
      </w:r>
      <w:r w:rsidRPr="004D23B9">
        <w:rPr>
          <w:i/>
          <w:szCs w:val="20"/>
        </w:rPr>
        <w:t>Cost of Urban Storm Water Control</w:t>
      </w:r>
      <w:r w:rsidRPr="004D23B9">
        <w:rPr>
          <w:szCs w:val="20"/>
        </w:rPr>
        <w:t xml:space="preserve"> (EPA 600/R-02/021), January, 2002, uses the following equation to estimate construction costs for off-line storage areas:</w:t>
      </w:r>
    </w:p>
    <w:p w:rsidR="005746E1" w:rsidRPr="004D23B9" w:rsidRDefault="009009F8" w:rsidP="005746E1">
      <w:pPr>
        <w:spacing w:after="120"/>
        <w:rPr>
          <w:rFonts w:cs="Arial"/>
          <w:szCs w:val="20"/>
          <w:vertAlign w:val="superscript"/>
        </w:rPr>
      </w:pPr>
      <w:r w:rsidRPr="004D23B9">
        <w:rPr>
          <w:rFonts w:cs="Arial"/>
          <w:i/>
          <w:szCs w:val="20"/>
        </w:rPr>
        <w:tab/>
      </w:r>
      <w:r w:rsidR="005746E1" w:rsidRPr="004D23B9">
        <w:rPr>
          <w:rFonts w:cs="Arial"/>
          <w:i/>
          <w:szCs w:val="20"/>
        </w:rPr>
        <w:t>C</w:t>
      </w:r>
      <w:r w:rsidR="005746E1" w:rsidRPr="004D23B9">
        <w:rPr>
          <w:rFonts w:cs="Arial"/>
          <w:szCs w:val="20"/>
        </w:rPr>
        <w:t xml:space="preserve"> = 4.546</w:t>
      </w:r>
      <w:r w:rsidR="005746E1" w:rsidRPr="004D23B9">
        <w:rPr>
          <w:rFonts w:cs="Arial"/>
          <w:i/>
          <w:szCs w:val="20"/>
        </w:rPr>
        <w:t>V</w:t>
      </w:r>
      <w:r w:rsidR="005746E1" w:rsidRPr="004D23B9">
        <w:rPr>
          <w:rFonts w:cs="Arial"/>
          <w:szCs w:val="20"/>
          <w:vertAlign w:val="superscript"/>
        </w:rPr>
        <w:t>0.826</w:t>
      </w:r>
    </w:p>
    <w:p w:rsidR="0062037C" w:rsidRPr="004D23B9" w:rsidRDefault="009009F8" w:rsidP="004D23B9">
      <w:pPr>
        <w:pStyle w:val="BodyText"/>
        <w:rPr>
          <w:szCs w:val="20"/>
        </w:rPr>
      </w:pPr>
      <w:r w:rsidRPr="004D23B9">
        <w:rPr>
          <w:szCs w:val="20"/>
        </w:rPr>
        <w:t>w</w:t>
      </w:r>
      <w:r w:rsidR="005746E1" w:rsidRPr="004D23B9">
        <w:rPr>
          <w:szCs w:val="20"/>
        </w:rPr>
        <w:t>here</w:t>
      </w:r>
    </w:p>
    <w:p w:rsidR="005746E1" w:rsidRPr="004D23B9" w:rsidRDefault="009009F8" w:rsidP="005746E1">
      <w:pPr>
        <w:spacing w:after="120"/>
        <w:rPr>
          <w:rFonts w:cs="Arial"/>
          <w:szCs w:val="20"/>
        </w:rPr>
      </w:pPr>
      <w:r w:rsidRPr="004D23B9">
        <w:rPr>
          <w:rFonts w:cs="Arial"/>
          <w:szCs w:val="20"/>
        </w:rPr>
        <w:tab/>
      </w:r>
      <w:r w:rsidR="005746E1" w:rsidRPr="004D23B9">
        <w:rPr>
          <w:rFonts w:cs="Arial"/>
          <w:i/>
          <w:szCs w:val="20"/>
        </w:rPr>
        <w:t>C</w:t>
      </w:r>
      <w:r w:rsidR="005746E1" w:rsidRPr="004D23B9">
        <w:rPr>
          <w:rFonts w:cs="Arial"/>
          <w:szCs w:val="20"/>
        </w:rPr>
        <w:t xml:space="preserve"> = construction cost ($ millions), in 1999 dollars</w:t>
      </w:r>
    </w:p>
    <w:p w:rsidR="005746E1" w:rsidRPr="004D23B9" w:rsidRDefault="009009F8" w:rsidP="005746E1">
      <w:pPr>
        <w:spacing w:after="120"/>
        <w:rPr>
          <w:rFonts w:cs="Arial"/>
          <w:szCs w:val="20"/>
        </w:rPr>
      </w:pPr>
      <w:r w:rsidRPr="004D23B9">
        <w:rPr>
          <w:rFonts w:cs="Arial"/>
          <w:szCs w:val="20"/>
        </w:rPr>
        <w:tab/>
      </w:r>
      <w:r w:rsidR="005746E1" w:rsidRPr="004D23B9">
        <w:rPr>
          <w:rFonts w:cs="Arial"/>
          <w:i/>
          <w:szCs w:val="20"/>
        </w:rPr>
        <w:t>V</w:t>
      </w:r>
      <w:r w:rsidR="005746E1" w:rsidRPr="004D23B9">
        <w:rPr>
          <w:rFonts w:cs="Arial"/>
          <w:szCs w:val="20"/>
        </w:rPr>
        <w:t xml:space="preserve"> = volume of storage system, in MG</w:t>
      </w:r>
    </w:p>
    <w:p w:rsidR="005746E1" w:rsidRPr="004D23B9" w:rsidRDefault="005746E1" w:rsidP="004D23B9">
      <w:pPr>
        <w:pStyle w:val="BodyText"/>
        <w:rPr>
          <w:szCs w:val="20"/>
        </w:rPr>
      </w:pPr>
      <w:r w:rsidRPr="004D23B9">
        <w:rPr>
          <w:szCs w:val="20"/>
        </w:rPr>
        <w:t>The document indicates that this calculation is valid where 0.15 MG &lt; volume &lt; 30 MG.</w:t>
      </w:r>
    </w:p>
    <w:p w:rsidR="005746E1" w:rsidRPr="004D23B9" w:rsidRDefault="005746E1" w:rsidP="004D23B9">
      <w:pPr>
        <w:pStyle w:val="BodyText"/>
        <w:rPr>
          <w:szCs w:val="20"/>
        </w:rPr>
      </w:pPr>
      <w:r w:rsidRPr="004D23B9">
        <w:rPr>
          <w:szCs w:val="20"/>
        </w:rPr>
        <w:t>In addition to this equation, a number of cost values were collected from the literature. These are summarized below:</w:t>
      </w:r>
    </w:p>
    <w:p w:rsidR="005746E1" w:rsidRPr="004D23B9" w:rsidRDefault="005746E1" w:rsidP="00C575E4">
      <w:pPr>
        <w:pStyle w:val="bullet"/>
      </w:pPr>
      <w:r w:rsidRPr="004D23B9">
        <w:t>EPA’s Report to Congress:  Impacts and Control of CSOs and SSOs, August 2004 (EPA 833-R-04-001). Costs per MG of near surface storage ranged from &lt;</w:t>
      </w:r>
      <w:r w:rsidR="009009F8" w:rsidRPr="004D23B9">
        <w:t xml:space="preserve"> </w:t>
      </w:r>
      <w:r w:rsidRPr="004D23B9">
        <w:t>$0.10 to $4.61/gallon, with an average of $1.75 gallon.</w:t>
      </w:r>
    </w:p>
    <w:p w:rsidR="0062037C" w:rsidRPr="004D23B9" w:rsidRDefault="005746E1" w:rsidP="00C575E4">
      <w:pPr>
        <w:pStyle w:val="bullet"/>
      </w:pPr>
      <w:r w:rsidRPr="004D23B9">
        <w:t>EPA Combined Sewer Overflow Technology Fact Sheet:  Retention Basins (EPA 832-F-99-032). Costs range from $0.32 to $0.98/gallon</w:t>
      </w:r>
      <w:r w:rsidR="0062037C" w:rsidRPr="004D23B9">
        <w:t>.</w:t>
      </w:r>
    </w:p>
    <w:p w:rsidR="0062037C" w:rsidRPr="004D23B9" w:rsidRDefault="005746E1" w:rsidP="00C575E4">
      <w:pPr>
        <w:pStyle w:val="bullet"/>
      </w:pPr>
      <w:smartTag w:uri="urn:schemas-microsoft-com:office:smarttags" w:element="City">
        <w:smartTag w:uri="urn:schemas-microsoft-com:office:smarttags" w:element="place">
          <w:r w:rsidRPr="004D23B9">
            <w:t>Decatur</w:t>
          </w:r>
        </w:smartTag>
      </w:smartTag>
      <w:r w:rsidRPr="004D23B9">
        <w:t xml:space="preserve"> McKinley - $1.09/gallon.</w:t>
      </w:r>
      <w:r w:rsidRPr="004D23B9">
        <w:br/>
      </w:r>
      <w:hyperlink r:id="rId123" w:anchor="description" w:history="1">
        <w:r w:rsidRPr="004D23B9">
          <w:rPr>
            <w:rStyle w:val="Hyperlink"/>
          </w:rPr>
          <w:t>http://www.nap.edu/catalog.php?record_id=2049#description</w:t>
        </w:r>
      </w:hyperlink>
      <w:r w:rsidRPr="004D23B9">
        <w:t>, pages 362-363</w:t>
      </w:r>
      <w:r w:rsidR="0062037C" w:rsidRPr="004D23B9">
        <w:t>.</w:t>
      </w:r>
    </w:p>
    <w:p w:rsidR="005746E1" w:rsidRPr="004D23B9" w:rsidRDefault="005746E1" w:rsidP="00C575E4">
      <w:pPr>
        <w:pStyle w:val="bullet"/>
      </w:pPr>
      <w:smartTag w:uri="urn:schemas-microsoft-com:office:smarttags" w:element="City">
        <w:smartTag w:uri="urn:schemas-microsoft-com:office:smarttags" w:element="place">
          <w:r w:rsidRPr="004D23B9">
            <w:t>Decatur</w:t>
          </w:r>
        </w:smartTag>
      </w:smartTag>
      <w:r w:rsidRPr="004D23B9">
        <w:t xml:space="preserve"> 7</w:t>
      </w:r>
      <w:r w:rsidRPr="004D23B9">
        <w:rPr>
          <w:vertAlign w:val="superscript"/>
        </w:rPr>
        <w:t>th</w:t>
      </w:r>
      <w:r w:rsidRPr="004D23B9">
        <w:t xml:space="preserve"> Ward – $0.76/gallon.</w:t>
      </w:r>
      <w:r w:rsidRPr="004D23B9">
        <w:br/>
      </w:r>
      <w:hyperlink r:id="rId124" w:anchor="description" w:history="1">
        <w:r w:rsidRPr="004D23B9">
          <w:rPr>
            <w:rStyle w:val="Hyperlink"/>
          </w:rPr>
          <w:t>http://www.nap.edu/catalog.php?record_id=2049#description</w:t>
        </w:r>
      </w:hyperlink>
      <w:r w:rsidRPr="004D23B9">
        <w:t>, pages 362-363.</w:t>
      </w:r>
    </w:p>
    <w:p w:rsidR="005746E1" w:rsidRPr="004D23B9" w:rsidRDefault="005746E1" w:rsidP="00C575E4">
      <w:pPr>
        <w:pStyle w:val="bullet"/>
      </w:pPr>
      <w:smartTag w:uri="urn:schemas-microsoft-com:office:smarttags" w:element="place">
        <w:smartTag w:uri="urn:schemas-microsoft-com:office:smarttags" w:element="PlaceName">
          <w:r w:rsidRPr="004D23B9">
            <w:t>Rouge</w:t>
          </w:r>
        </w:smartTag>
        <w:r w:rsidRPr="004D23B9">
          <w:t xml:space="preserve"> </w:t>
        </w:r>
        <w:smartTag w:uri="urn:schemas-microsoft-com:office:smarttags" w:element="PlaceType">
          <w:r w:rsidRPr="004D23B9">
            <w:t>River</w:t>
          </w:r>
        </w:smartTag>
      </w:smartTag>
      <w:r w:rsidRPr="004D23B9">
        <w:t xml:space="preserve"> – range from $2.86 to $8.53/gallon of storage for aboveground facilities. The average was $5.18/gallon.</w:t>
      </w:r>
      <w:r w:rsidRPr="004D23B9">
        <w:br/>
      </w:r>
      <w:hyperlink r:id="rId125" w:history="1">
        <w:r w:rsidRPr="004D23B9">
          <w:rPr>
            <w:rStyle w:val="Hyperlink"/>
          </w:rPr>
          <w:t>http://www.rougeriver.com/cso/overview.html</w:t>
        </w:r>
      </w:hyperlink>
    </w:p>
    <w:p w:rsidR="005746E1" w:rsidRPr="004D23B9" w:rsidRDefault="005746E1" w:rsidP="00C575E4">
      <w:pPr>
        <w:pStyle w:val="bullet"/>
      </w:pPr>
      <w:smartTag w:uri="urn:schemas-microsoft-com:office:smarttags" w:element="City">
        <w:smartTag w:uri="urn:schemas-microsoft-com:office:smarttags" w:element="place">
          <w:r w:rsidRPr="004D23B9">
            <w:t>San Francisco</w:t>
          </w:r>
        </w:smartTag>
      </w:smartTag>
      <w:r w:rsidRPr="004D23B9">
        <w:t xml:space="preserve"> - $2.35/gallon.</w:t>
      </w:r>
      <w:r w:rsidRPr="004D23B9">
        <w:br/>
      </w:r>
      <w:hyperlink r:id="rId126" w:history="1">
        <w:r w:rsidRPr="004D23B9">
          <w:rPr>
            <w:rStyle w:val="Hyperlink"/>
          </w:rPr>
          <w:t>http://www.swrcb.ca.gov/rwqcb2/Agenda/07-16-03/07-16-03-fsheetattachments.doc</w:t>
        </w:r>
      </w:hyperlink>
    </w:p>
    <w:p w:rsidR="005746E1" w:rsidRDefault="005746E1" w:rsidP="004D23B9">
      <w:pPr>
        <w:pStyle w:val="BodyText"/>
        <w:rPr>
          <w:szCs w:val="20"/>
        </w:rPr>
      </w:pPr>
      <w:r w:rsidRPr="00A64758">
        <w:rPr>
          <w:rStyle w:val="Bold"/>
        </w:rPr>
        <w:t xml:space="preserve">Summary: </w:t>
      </w:r>
      <w:r w:rsidRPr="004D23B9">
        <w:rPr>
          <w:szCs w:val="20"/>
        </w:rPr>
        <w:t>On average, near surface storage costs</w:t>
      </w:r>
      <w:r w:rsidRPr="00A64758">
        <w:rPr>
          <w:rStyle w:val="Bold"/>
        </w:rPr>
        <w:t xml:space="preserve"> </w:t>
      </w:r>
      <w:r w:rsidRPr="004D23B9">
        <w:rPr>
          <w:szCs w:val="20"/>
        </w:rPr>
        <w:t>$2.00 per gallon of storage.</w:t>
      </w:r>
    </w:p>
    <w:p w:rsidR="00D8779B" w:rsidRPr="004D23B9" w:rsidRDefault="00D8779B" w:rsidP="004D23B9">
      <w:pPr>
        <w:pStyle w:val="BodyText"/>
        <w:rPr>
          <w:szCs w:val="20"/>
        </w:rPr>
      </w:pPr>
    </w:p>
    <w:p w:rsidR="00D8779B" w:rsidRDefault="00D8779B">
      <w:pPr>
        <w:spacing w:after="240"/>
        <w:rPr>
          <w:rFonts w:cs="Arial"/>
        </w:rPr>
        <w:sectPr w:rsidR="00D8779B" w:rsidSect="005F01AD">
          <w:headerReference w:type="default" r:id="rId127"/>
          <w:footerReference w:type="first" r:id="rId128"/>
          <w:endnotePr>
            <w:numFmt w:val="decimal"/>
            <w:numRestart w:val="eachSect"/>
          </w:endnotePr>
          <w:pgSz w:w="12240" w:h="15840"/>
          <w:pgMar w:top="1440" w:right="1440" w:bottom="1440" w:left="1440" w:header="720" w:footer="720" w:gutter="0"/>
          <w:pgNumType w:start="1" w:chapStyle="9"/>
          <w:cols w:space="720"/>
          <w:titlePg/>
          <w:docGrid w:linePitch="360"/>
        </w:sectPr>
      </w:pPr>
    </w:p>
    <w:p w:rsidR="002A082A" w:rsidRDefault="002A082A" w:rsidP="002A082A">
      <w:pPr>
        <w:pStyle w:val="Heading9"/>
      </w:pPr>
      <w:bookmarkStart w:id="351" w:name="_Toc243809481"/>
    </w:p>
    <w:p w:rsidR="00807E7C" w:rsidRDefault="00FC3334" w:rsidP="00807E7C">
      <w:pPr>
        <w:pStyle w:val="Heading1A"/>
      </w:pPr>
      <w:bookmarkStart w:id="352" w:name="_Toc285015645"/>
      <w:r w:rsidRPr="007F221D">
        <w:t>Appendix D</w:t>
      </w:r>
      <w:r w:rsidR="007F221D">
        <w:t xml:space="preserve">. </w:t>
      </w:r>
      <w:r w:rsidR="00D250CB" w:rsidRPr="00B11595">
        <w:t xml:space="preserve">Green Infrastructure </w:t>
      </w:r>
      <w:r w:rsidR="00D250CB">
        <w:t xml:space="preserve">Runoff Controls Fact Sheets and Additional Information for </w:t>
      </w:r>
      <w:r w:rsidR="00D250CB" w:rsidRPr="00B11595">
        <w:t>Schedule 5A – CSO Runoff Control</w:t>
      </w:r>
      <w:bookmarkEnd w:id="351"/>
      <w:bookmarkEnd w:id="352"/>
    </w:p>
    <w:p w:rsidR="003A7269" w:rsidRDefault="004B5DFC" w:rsidP="003A7269">
      <w:pPr>
        <w:pStyle w:val="BodyText"/>
      </w:pPr>
      <w:r w:rsidRPr="00807E7C">
        <w:t xml:space="preserve">This Appendix </w:t>
      </w:r>
      <w:r w:rsidR="00D250CB">
        <w:t>presents fact sheets on the 6 green infrastructure technologie</w:t>
      </w:r>
      <w:r w:rsidR="003B5A3B">
        <w:t>s utilized by the Green LTCP-EZ</w:t>
      </w:r>
      <w:r w:rsidR="00D250CB">
        <w:t xml:space="preserve"> (plus a fact sheet on the runoff reducti</w:t>
      </w:r>
      <w:r w:rsidR="00332AD9">
        <w:t>on benefits available from tree planting</w:t>
      </w:r>
      <w:r w:rsidR="00D02551">
        <w:t>)</w:t>
      </w:r>
      <w:r w:rsidR="00D250CB">
        <w:t>. The</w:t>
      </w:r>
      <w:r w:rsidR="00D02551">
        <w:t>se fact sheets are intended to</w:t>
      </w:r>
      <w:r w:rsidR="00D250CB">
        <w:t xml:space="preserve"> </w:t>
      </w:r>
      <w:r w:rsidRPr="00807E7C">
        <w:t>summarize some of the references and resources available to help users better understand the design, performance and implementation issues associa</w:t>
      </w:r>
      <w:r w:rsidR="0023393D" w:rsidRPr="00807E7C">
        <w:t>ted with green infrastructure.</w:t>
      </w:r>
      <w:r w:rsidR="003A7269">
        <w:t xml:space="preserve"> </w:t>
      </w:r>
      <w:r w:rsidRPr="00807E7C">
        <w:t>These resources are not a substitute for local design standards or guidance when available.</w:t>
      </w:r>
      <w:r w:rsidR="003A7269">
        <w:t xml:space="preserve"> The cost information provided in the fact sheets is relative and depends on the location and market. Permittees </w:t>
      </w:r>
      <w:r w:rsidR="00502FFC">
        <w:t>should</w:t>
      </w:r>
      <w:r w:rsidR="003A7269">
        <w:t xml:space="preserve"> verify the actual costs of these practices for their communities to provide for a more effective cost analysis.</w:t>
      </w:r>
    </w:p>
    <w:p w:rsidR="00332AD9" w:rsidRDefault="003B5A3B" w:rsidP="004D23B9">
      <w:pPr>
        <w:pStyle w:val="BodyText"/>
      </w:pPr>
      <w:r>
        <w:t xml:space="preserve">The 6 green </w:t>
      </w:r>
      <w:r w:rsidRPr="00884559">
        <w:t>infrastructure technologies are:</w:t>
      </w:r>
    </w:p>
    <w:p w:rsidR="00FE6900" w:rsidRDefault="00FE6900" w:rsidP="00FE6900">
      <w:pPr>
        <w:pStyle w:val="BodyText"/>
        <w:numPr>
          <w:ilvl w:val="0"/>
          <w:numId w:val="39"/>
        </w:numPr>
        <w:spacing w:before="0" w:after="0" w:line="276" w:lineRule="auto"/>
      </w:pPr>
      <w:r>
        <w:t>Green Roofs</w:t>
      </w:r>
    </w:p>
    <w:p w:rsidR="00FE6900" w:rsidRDefault="00FE6900" w:rsidP="00FE6900">
      <w:pPr>
        <w:pStyle w:val="BodyText"/>
        <w:numPr>
          <w:ilvl w:val="0"/>
          <w:numId w:val="39"/>
        </w:numPr>
        <w:spacing w:before="0" w:after="0" w:line="276" w:lineRule="auto"/>
      </w:pPr>
      <w:r>
        <w:t>Rain Gardens</w:t>
      </w:r>
    </w:p>
    <w:p w:rsidR="00FE6900" w:rsidRDefault="00FE6900" w:rsidP="00FE6900">
      <w:pPr>
        <w:pStyle w:val="BodyText"/>
        <w:numPr>
          <w:ilvl w:val="0"/>
          <w:numId w:val="39"/>
        </w:numPr>
        <w:spacing w:before="0" w:after="0" w:line="276" w:lineRule="auto"/>
      </w:pPr>
      <w:r>
        <w:t>Vegetated Swales</w:t>
      </w:r>
    </w:p>
    <w:p w:rsidR="00FE6900" w:rsidRDefault="00FE6900" w:rsidP="00FE6900">
      <w:pPr>
        <w:pStyle w:val="BodyText"/>
        <w:numPr>
          <w:ilvl w:val="0"/>
          <w:numId w:val="39"/>
        </w:numPr>
        <w:spacing w:before="0" w:after="0" w:line="276" w:lineRule="auto"/>
      </w:pPr>
      <w:r>
        <w:t>Permeable Pavement</w:t>
      </w:r>
    </w:p>
    <w:p w:rsidR="00FE6900" w:rsidRDefault="00FE6900" w:rsidP="00FE6900">
      <w:pPr>
        <w:pStyle w:val="BodyText"/>
        <w:numPr>
          <w:ilvl w:val="0"/>
          <w:numId w:val="39"/>
        </w:numPr>
        <w:spacing w:before="0" w:after="0" w:line="276" w:lineRule="auto"/>
      </w:pPr>
      <w:r>
        <w:t>Rain Barrels &amp; Cisterns</w:t>
      </w:r>
    </w:p>
    <w:p w:rsidR="00FE6900" w:rsidRDefault="00FE6900" w:rsidP="00FE6900">
      <w:pPr>
        <w:pStyle w:val="BodyText"/>
        <w:numPr>
          <w:ilvl w:val="0"/>
          <w:numId w:val="39"/>
        </w:numPr>
        <w:spacing w:before="0" w:after="0" w:line="276" w:lineRule="auto"/>
      </w:pPr>
      <w:r>
        <w:t>Constructed Wetlands</w:t>
      </w:r>
    </w:p>
    <w:p w:rsidR="00FE6900" w:rsidRPr="00884559" w:rsidRDefault="00FE6900" w:rsidP="00FE6900">
      <w:pPr>
        <w:pStyle w:val="BodyText"/>
        <w:spacing w:before="0" w:after="0" w:line="276" w:lineRule="auto"/>
        <w:ind w:left="720"/>
      </w:pPr>
    </w:p>
    <w:p w:rsidR="004B5DFC" w:rsidRPr="00C575E4" w:rsidRDefault="004B5DFC" w:rsidP="00FE6900">
      <w:pPr>
        <w:pStyle w:val="Heading3"/>
        <w:spacing w:before="0" w:after="0"/>
      </w:pPr>
      <w:bookmarkStart w:id="353" w:name="_Toc244324749"/>
      <w:bookmarkStart w:id="354" w:name="_Toc244326397"/>
      <w:bookmarkStart w:id="355" w:name="_Toc244332018"/>
      <w:bookmarkStart w:id="356" w:name="_Toc244334906"/>
      <w:r w:rsidRPr="00C575E4">
        <w:t>Overview and General</w:t>
      </w:r>
      <w:bookmarkEnd w:id="353"/>
      <w:bookmarkEnd w:id="354"/>
      <w:bookmarkEnd w:id="355"/>
      <w:bookmarkEnd w:id="356"/>
      <w:r w:rsidR="003A7269">
        <w:t xml:space="preserve"> Information References</w:t>
      </w:r>
    </w:p>
    <w:p w:rsidR="004B5DFC" w:rsidRPr="004775F8" w:rsidRDefault="004B5DFC" w:rsidP="00C575E4">
      <w:pPr>
        <w:pStyle w:val="bullet"/>
      </w:pPr>
      <w:r w:rsidRPr="004775F8">
        <w:rPr>
          <w:i/>
        </w:rPr>
        <w:t xml:space="preserve">EPA Office of Wastewater Management (OWM), Managing Wet Weather with Green Infrastructure </w:t>
      </w:r>
      <w:r w:rsidR="0028187E" w:rsidRPr="004775F8">
        <w:t>Web site</w:t>
      </w:r>
      <w:r w:rsidRPr="004775F8">
        <w:t xml:space="preserve"> (</w:t>
      </w:r>
      <w:hyperlink r:id="rId129" w:history="1">
        <w:r w:rsidRPr="004775F8">
          <w:rPr>
            <w:rStyle w:val="Hyperlink"/>
          </w:rPr>
          <w:t>http://cfpub.epa.gov/npdes/home.cfm?program_id=298</w:t>
        </w:r>
      </w:hyperlink>
      <w:r w:rsidRPr="004775F8">
        <w:t>) – Contains information on EPA policies, case studies, technical information, and funding sources.</w:t>
      </w:r>
    </w:p>
    <w:p w:rsidR="004B5DFC" w:rsidRPr="004775F8" w:rsidRDefault="004B5DFC" w:rsidP="00C575E4">
      <w:pPr>
        <w:pStyle w:val="bullet"/>
      </w:pPr>
      <w:r w:rsidRPr="004775F8">
        <w:rPr>
          <w:i/>
        </w:rPr>
        <w:t xml:space="preserve">Center for Neighborhood Technology, Green Values Stormwater Toolbox </w:t>
      </w:r>
      <w:r w:rsidRPr="004775F8">
        <w:t>(</w:t>
      </w:r>
      <w:hyperlink r:id="rId130" w:history="1">
        <w:r w:rsidRPr="004775F8">
          <w:rPr>
            <w:rStyle w:val="Hyperlink"/>
          </w:rPr>
          <w:t>http://greenvalues.cnt.org/</w:t>
        </w:r>
      </w:hyperlink>
      <w:r w:rsidRPr="004775F8">
        <w:t>) – Contains overview technical information and two green infrastructure stormwater calculators that can be used to estimate costs and benefits of various green infrastructure applications.</w:t>
      </w:r>
    </w:p>
    <w:p w:rsidR="004B5DFC" w:rsidRPr="004775F8" w:rsidRDefault="004B5DFC" w:rsidP="00C575E4">
      <w:pPr>
        <w:pStyle w:val="bullet"/>
      </w:pPr>
      <w:r w:rsidRPr="004775F8">
        <w:rPr>
          <w:i/>
        </w:rPr>
        <w:t xml:space="preserve">Center for Watershed Protection, Stormwater Manager’s </w:t>
      </w:r>
      <w:smartTag w:uri="urn:schemas-microsoft-com:office:smarttags" w:element="place">
        <w:smartTag w:uri="urn:schemas-microsoft-com:office:smarttags" w:element="PlaceName">
          <w:r w:rsidRPr="004775F8">
            <w:rPr>
              <w:i/>
            </w:rPr>
            <w:t>Resource</w:t>
          </w:r>
        </w:smartTag>
        <w:r w:rsidRPr="004775F8">
          <w:rPr>
            <w:i/>
          </w:rPr>
          <w:t xml:space="preserve"> </w:t>
        </w:r>
        <w:smartTag w:uri="urn:schemas-microsoft-com:office:smarttags" w:element="PlaceType">
          <w:r w:rsidRPr="004775F8">
            <w:rPr>
              <w:i/>
            </w:rPr>
            <w:t>Center</w:t>
          </w:r>
        </w:smartTag>
      </w:smartTag>
      <w:r w:rsidRPr="004775F8">
        <w:rPr>
          <w:i/>
        </w:rPr>
        <w:t xml:space="preserve"> </w:t>
      </w:r>
      <w:r w:rsidRPr="004775F8">
        <w:t>(</w:t>
      </w:r>
      <w:hyperlink r:id="rId131" w:history="1">
        <w:r w:rsidRPr="004775F8">
          <w:rPr>
            <w:rStyle w:val="Hyperlink"/>
          </w:rPr>
          <w:t>http://www.stormwatercenter.net/</w:t>
        </w:r>
      </w:hyperlink>
      <w:r w:rsidRPr="004775F8">
        <w:t>) – Contains overview technical information, fact sheets, and design guidelines and manuals.</w:t>
      </w:r>
    </w:p>
    <w:p w:rsidR="004B5DFC" w:rsidRPr="004775F8" w:rsidRDefault="004B5DFC" w:rsidP="00C575E4">
      <w:pPr>
        <w:pStyle w:val="bullet"/>
      </w:pPr>
      <w:r w:rsidRPr="004775F8">
        <w:rPr>
          <w:i/>
        </w:rPr>
        <w:t xml:space="preserve">International Stormwater BMP Database </w:t>
      </w:r>
      <w:r w:rsidRPr="004775F8">
        <w:t>(</w:t>
      </w:r>
      <w:hyperlink r:id="rId132" w:history="1">
        <w:r w:rsidRPr="004775F8">
          <w:rPr>
            <w:rStyle w:val="Hyperlink"/>
          </w:rPr>
          <w:t>http://www.bmpdatabase.org/</w:t>
        </w:r>
      </w:hyperlink>
      <w:r w:rsidRPr="004775F8">
        <w:t>) – Database of hundreds of BMPs performance studies (including many green infrastructure studies).</w:t>
      </w:r>
    </w:p>
    <w:p w:rsidR="004B5DFC" w:rsidRPr="004775F8" w:rsidRDefault="004B5DFC" w:rsidP="00C575E4">
      <w:pPr>
        <w:pStyle w:val="bullet"/>
      </w:pPr>
      <w:r w:rsidRPr="004775F8">
        <w:rPr>
          <w:i/>
        </w:rPr>
        <w:t>Water Environment Research Foundation (WERF), Livable Communities</w:t>
      </w:r>
      <w:r w:rsidRPr="004775F8">
        <w:t xml:space="preserve"> </w:t>
      </w:r>
      <w:r w:rsidR="0028187E" w:rsidRPr="004775F8">
        <w:t>Web site</w:t>
      </w:r>
      <w:r w:rsidRPr="004775F8">
        <w:t xml:space="preserve"> (</w:t>
      </w:r>
      <w:hyperlink r:id="rId133" w:history="1">
        <w:r w:rsidRPr="004775F8">
          <w:rPr>
            <w:rStyle w:val="Hyperlink"/>
          </w:rPr>
          <w:t>http://www.werf.org/livablecommunities/</w:t>
        </w:r>
      </w:hyperlink>
      <w:r w:rsidRPr="004775F8">
        <w:t>) – Contains communication and implementation tools and resources and in-depth case studies.</w:t>
      </w:r>
    </w:p>
    <w:p w:rsidR="00997BC2" w:rsidRDefault="004B5DFC" w:rsidP="00E6032C">
      <w:pPr>
        <w:pStyle w:val="bullet"/>
      </w:pPr>
      <w:r w:rsidRPr="00E6032C">
        <w:rPr>
          <w:i/>
        </w:rPr>
        <w:t>Low Impact Development Center, LID Urban Design Tools</w:t>
      </w:r>
      <w:r w:rsidRPr="004775F8">
        <w:t xml:space="preserve"> </w:t>
      </w:r>
      <w:r w:rsidR="0028187E" w:rsidRPr="004775F8">
        <w:t>Web site</w:t>
      </w:r>
      <w:r w:rsidRPr="004775F8">
        <w:t>, (</w:t>
      </w:r>
      <w:hyperlink r:id="rId134" w:history="1">
        <w:r w:rsidRPr="004775F8">
          <w:rPr>
            <w:rStyle w:val="Hyperlink"/>
          </w:rPr>
          <w:t>http://www.lid-stormwater.net/</w:t>
        </w:r>
      </w:hyperlink>
      <w:r w:rsidRPr="004775F8">
        <w:t>) –</w:t>
      </w:r>
      <w:bookmarkStart w:id="357" w:name="_Toc244324750"/>
      <w:bookmarkStart w:id="358" w:name="_Toc244326398"/>
      <w:bookmarkStart w:id="359" w:name="_Toc244332019"/>
      <w:bookmarkStart w:id="360" w:name="_Toc244334907"/>
      <w:r w:rsidR="00E6032C">
        <w:t xml:space="preserve"> </w:t>
      </w:r>
      <w:bookmarkStart w:id="361" w:name="_Toc244324751"/>
      <w:bookmarkStart w:id="362" w:name="_Toc244326399"/>
      <w:bookmarkStart w:id="363" w:name="_Toc244332020"/>
      <w:bookmarkStart w:id="364" w:name="_Toc244334908"/>
      <w:bookmarkEnd w:id="357"/>
      <w:bookmarkEnd w:id="358"/>
      <w:bookmarkEnd w:id="359"/>
      <w:bookmarkEnd w:id="360"/>
      <w:r w:rsidR="00E6032C" w:rsidRPr="00E6032C">
        <w:t>Contains design tools, design examples, and in-depth case studies.</w:t>
      </w:r>
    </w:p>
    <w:p w:rsidR="00BA11BA" w:rsidRDefault="00BA11BA" w:rsidP="00E552D9">
      <w:pPr>
        <w:pStyle w:val="bullet"/>
        <w:sectPr w:rsidR="00BA11BA" w:rsidSect="005F01AD">
          <w:headerReference w:type="default" r:id="rId135"/>
          <w:footerReference w:type="default" r:id="rId136"/>
          <w:footerReference w:type="first" r:id="rId137"/>
          <w:endnotePr>
            <w:numFmt w:val="decimal"/>
            <w:numRestart w:val="eachSect"/>
          </w:endnotePr>
          <w:pgSz w:w="12240" w:h="15840"/>
          <w:pgMar w:top="1440" w:right="1440" w:bottom="1440" w:left="1440" w:header="720" w:footer="720" w:gutter="0"/>
          <w:pgNumType w:start="1" w:chapStyle="9"/>
          <w:cols w:space="720"/>
          <w:docGrid w:linePitch="360"/>
        </w:sectPr>
      </w:pPr>
    </w:p>
    <w:bookmarkEnd w:id="361"/>
    <w:bookmarkEnd w:id="362"/>
    <w:bookmarkEnd w:id="363"/>
    <w:bookmarkEnd w:id="364"/>
    <w:p w:rsidR="00A402C7" w:rsidRPr="00FE6900" w:rsidRDefault="00A402C7" w:rsidP="00FE6900">
      <w:pPr>
        <w:pBdr>
          <w:bottom w:val="single" w:sz="6" w:space="1" w:color="auto"/>
        </w:pBdr>
        <w:spacing w:line="276" w:lineRule="auto"/>
        <w:jc w:val="center"/>
        <w:rPr>
          <w:rFonts w:cs="Arial"/>
          <w:b/>
          <w:szCs w:val="20"/>
        </w:rPr>
      </w:pPr>
      <w:r w:rsidRPr="00FE6900">
        <w:rPr>
          <w:rFonts w:cs="Arial"/>
          <w:b/>
          <w:szCs w:val="20"/>
        </w:rPr>
        <w:t>Green Roofs</w:t>
      </w:r>
    </w:p>
    <w:p w:rsidR="00A402C7" w:rsidRPr="00FE6900" w:rsidRDefault="00A402C7" w:rsidP="00FE6900">
      <w:pPr>
        <w:spacing w:line="276" w:lineRule="auto"/>
        <w:rPr>
          <w:rFonts w:cs="Arial"/>
          <w:b/>
          <w:szCs w:val="20"/>
        </w:rPr>
      </w:pPr>
    </w:p>
    <w:p w:rsidR="00A402C7" w:rsidRPr="00FE6900" w:rsidRDefault="00A402C7" w:rsidP="00FE6900">
      <w:pPr>
        <w:spacing w:line="276" w:lineRule="auto"/>
        <w:rPr>
          <w:rFonts w:cs="Arial"/>
          <w:szCs w:val="20"/>
        </w:rPr>
      </w:pPr>
      <w:r w:rsidRPr="00FE6900">
        <w:rPr>
          <w:rFonts w:cs="Arial"/>
          <w:szCs w:val="20"/>
        </w:rPr>
        <w:t>A green roof is a roof that is partially or completely covered with a layer of vegetation and growth medium over a waterproofing membrane. The depth of the planting medium, amount of maintenance and planted material varies depending on the design plan. Extensive green roofs have a thin soil layer and are lighter, less expensive and require less maintenance. Intensive green roofs are characterized by a deeper soil layer, are heavier, and have higher capital costs. Intensive green roofs may support an increased diversity of plants but also have a higher maintenance requirement.</w:t>
      </w:r>
      <w:r w:rsidRPr="00FE6900">
        <w:rPr>
          <w:rStyle w:val="EndnoteReference"/>
          <w:rFonts w:cs="Arial"/>
          <w:szCs w:val="20"/>
        </w:rPr>
        <w:endnoteReference w:id="1"/>
      </w:r>
    </w:p>
    <w:p w:rsidR="00A402C7" w:rsidRPr="00FE6900" w:rsidRDefault="00726551" w:rsidP="00FE6900">
      <w:pPr>
        <w:pStyle w:val="AppendixDHeading"/>
        <w:spacing w:line="276" w:lineRule="auto"/>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53632" behindDoc="0" locked="0" layoutInCell="1" allowOverlap="1">
            <wp:simplePos x="0" y="0"/>
            <wp:positionH relativeFrom="margin">
              <wp:posOffset>3382645</wp:posOffset>
            </wp:positionH>
            <wp:positionV relativeFrom="margin">
              <wp:posOffset>1593850</wp:posOffset>
            </wp:positionV>
            <wp:extent cx="2560955" cy="2047875"/>
            <wp:effectExtent l="19050" t="0" r="0" b="0"/>
            <wp:wrapSquare wrapText="bothSides"/>
            <wp:docPr id="336" name="Picture 1" descr="C:\Users\ryan.fleeman\AppData\Local\Microsoft\Windows\Temporary Internet Files\Content.Outlook\4788DPCX\GR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an.fleeman\AppData\Local\Microsoft\Windows\Temporary Internet Files\Content.Outlook\4788DPCX\GR Detail.jpg"/>
                    <pic:cNvPicPr>
                      <a:picLocks noChangeAspect="1" noChangeArrowheads="1"/>
                    </pic:cNvPicPr>
                  </pic:nvPicPr>
                  <pic:blipFill>
                    <a:blip r:embed="rId138"/>
                    <a:srcRect/>
                    <a:stretch>
                      <a:fillRect/>
                    </a:stretch>
                  </pic:blipFill>
                  <pic:spPr bwMode="auto">
                    <a:xfrm>
                      <a:off x="0" y="0"/>
                      <a:ext cx="2560955" cy="2047875"/>
                    </a:xfrm>
                    <a:prstGeom prst="rect">
                      <a:avLst/>
                    </a:prstGeom>
                    <a:noFill/>
                    <a:ln w="9525">
                      <a:noFill/>
                      <a:miter lim="800000"/>
                      <a:headEnd/>
                      <a:tailEnd/>
                    </a:ln>
                  </pic:spPr>
                </pic:pic>
              </a:graphicData>
            </a:graphic>
          </wp:anchor>
        </w:drawing>
      </w:r>
      <w:r w:rsidR="00A402C7" w:rsidRPr="00FE6900">
        <w:rPr>
          <w:rFonts w:ascii="Arial" w:hAnsi="Arial" w:cs="Arial"/>
          <w:sz w:val="20"/>
          <w:szCs w:val="20"/>
        </w:rPr>
        <w:t>Construction</w:t>
      </w:r>
      <w:r w:rsidR="00A402C7" w:rsidRPr="00FE6900">
        <w:rPr>
          <w:rFonts w:ascii="Arial" w:hAnsi="Arial" w:cs="Arial"/>
          <w:color w:val="000000"/>
          <w:sz w:val="20"/>
          <w:szCs w:val="20"/>
        </w:rPr>
        <w:t xml:space="preserve"> </w:t>
      </w:r>
    </w:p>
    <w:p w:rsidR="00A402C7" w:rsidRPr="00FE6900" w:rsidRDefault="00430DFB" w:rsidP="00FE6900">
      <w:pPr>
        <w:spacing w:line="276" w:lineRule="auto"/>
        <w:rPr>
          <w:rFonts w:cs="Arial"/>
          <w:color w:val="000000"/>
          <w:szCs w:val="20"/>
        </w:rPr>
      </w:pPr>
      <w:r>
        <w:rPr>
          <w:rFonts w:cs="Arial"/>
          <w:noProof/>
          <w:color w:val="000000"/>
          <w:szCs w:val="20"/>
        </w:rPr>
        <mc:AlternateContent>
          <mc:Choice Requires="wps">
            <w:drawing>
              <wp:anchor distT="0" distB="0" distL="114300" distR="114300" simplePos="0" relativeHeight="251654656" behindDoc="0" locked="0" layoutInCell="1" allowOverlap="1">
                <wp:simplePos x="0" y="0"/>
                <wp:positionH relativeFrom="column">
                  <wp:posOffset>3295650</wp:posOffset>
                </wp:positionH>
                <wp:positionV relativeFrom="paragraph">
                  <wp:posOffset>1800225</wp:posOffset>
                </wp:positionV>
                <wp:extent cx="2552700" cy="352425"/>
                <wp:effectExtent l="0" t="0" r="0" b="0"/>
                <wp:wrapSquare wrapText="bothSides"/>
                <wp:docPr id="2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9D3" w:rsidRPr="00FE6900" w:rsidRDefault="00E659D3" w:rsidP="008B0F30">
                            <w:pPr>
                              <w:jc w:val="center"/>
                              <w:rPr>
                                <w:rFonts w:cs="Arial"/>
                                <w:sz w:val="14"/>
                                <w:szCs w:val="14"/>
                              </w:rPr>
                            </w:pPr>
                            <w:r w:rsidRPr="00FE6900">
                              <w:rPr>
                                <w:rFonts w:cs="Arial"/>
                                <w:sz w:val="14"/>
                                <w:szCs w:val="14"/>
                              </w:rPr>
                              <w:t xml:space="preserve">AMERGREEN prefabricated drain illustration published with permission from </w:t>
                            </w:r>
                            <w:r w:rsidRPr="00FE6900">
                              <w:rPr>
                                <w:rFonts w:cs="Arial"/>
                                <w:i/>
                                <w:sz w:val="14"/>
                                <w:szCs w:val="14"/>
                              </w:rPr>
                              <w:t>American Wick Drain Corporation</w:t>
                            </w:r>
                            <w:r w:rsidRPr="00FE6900">
                              <w:rPr>
                                <w:rFonts w:cs="Arial"/>
                                <w:sz w:val="14"/>
                                <w:szCs w:val="14"/>
                              </w:rPr>
                              <w:t>.</w:t>
                            </w:r>
                          </w:p>
                          <w:p w:rsidR="00E659D3" w:rsidRPr="00875EAD" w:rsidRDefault="00E659D3">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90" type="#_x0000_t202" style="position:absolute;margin-left:259.5pt;margin-top:141.75pt;width:201pt;height:2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4n2iQIAABo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" stroked="f">
                <v:textbox>
                  <w:txbxContent>
                    <w:p w:rsidR="00E659D3" w:rsidRPr="00FE6900" w:rsidRDefault="00E659D3" w:rsidP="008B0F30">
                      <w:pPr>
                        <w:jc w:val="center"/>
                        <w:rPr>
                          <w:rFonts w:cs="Arial"/>
                          <w:sz w:val="14"/>
                          <w:szCs w:val="14"/>
                        </w:rPr>
                      </w:pPr>
                      <w:r w:rsidRPr="00FE6900">
                        <w:rPr>
                          <w:rFonts w:cs="Arial"/>
                          <w:sz w:val="14"/>
                          <w:szCs w:val="14"/>
                        </w:rPr>
                        <w:t xml:space="preserve">AMERGREEN prefabricated drain illustration published with permission from </w:t>
                      </w:r>
                      <w:r w:rsidRPr="00FE6900">
                        <w:rPr>
                          <w:rFonts w:cs="Arial"/>
                          <w:i/>
                          <w:sz w:val="14"/>
                          <w:szCs w:val="14"/>
                        </w:rPr>
                        <w:t>American Wick Drain Corporation</w:t>
                      </w:r>
                      <w:r w:rsidRPr="00FE6900">
                        <w:rPr>
                          <w:rFonts w:cs="Arial"/>
                          <w:sz w:val="14"/>
                          <w:szCs w:val="14"/>
                        </w:rPr>
                        <w:t>.</w:t>
                      </w:r>
                    </w:p>
                    <w:p w:rsidR="00E659D3" w:rsidRPr="00875EAD" w:rsidRDefault="00E659D3">
                      <w:pPr>
                        <w:rPr>
                          <w:rFonts w:ascii="Times New Roman" w:hAnsi="Times New Roman"/>
                          <w:sz w:val="18"/>
                          <w:szCs w:val="18"/>
                        </w:rPr>
                      </w:pPr>
                    </w:p>
                  </w:txbxContent>
                </v:textbox>
                <w10:wrap type="square"/>
              </v:shape>
            </w:pict>
          </mc:Fallback>
        </mc:AlternateContent>
      </w:r>
      <w:r w:rsidR="00A402C7" w:rsidRPr="00FE6900">
        <w:rPr>
          <w:rFonts w:cs="Arial"/>
          <w:color w:val="000000"/>
          <w:szCs w:val="20"/>
        </w:rPr>
        <w:t>Green roofs may be installed on a large or small scale either as a retrofit, or as part of new construction.</w:t>
      </w:r>
      <w:r w:rsidR="00A402C7" w:rsidRPr="00FE6900">
        <w:rPr>
          <w:rStyle w:val="EndnoteReference"/>
          <w:rFonts w:cs="Arial"/>
          <w:color w:val="000000"/>
          <w:szCs w:val="20"/>
        </w:rPr>
        <w:endnoteReference w:id="2"/>
      </w:r>
      <w:r w:rsidR="00A402C7" w:rsidRPr="00FE6900">
        <w:rPr>
          <w:rFonts w:cs="Arial"/>
          <w:color w:val="000000"/>
          <w:szCs w:val="20"/>
        </w:rPr>
        <w:t xml:space="preserve"> Prior to installation, roof structures must be capable of supporting the weight of an intensive or extensive green roof system. Once it is verified that the weight load can be accommodated, construction may begin. Most green roofs installed in North America consist of four distinct layers: an impermeable roof cover or roofing membrane, a lightweight drainage layer consisting of porous media capable of water storage, a geosynthetic layer to prevent fine soil media from clogging porous media soil or other lightweight planting or growth medium, and adapted vegetation.</w:t>
      </w:r>
      <w:r w:rsidR="00A402C7" w:rsidRPr="00FE6900">
        <w:rPr>
          <w:rStyle w:val="EndnoteReference"/>
          <w:rFonts w:cs="Arial"/>
          <w:color w:val="000000"/>
          <w:szCs w:val="20"/>
        </w:rPr>
        <w:endnoteReference w:id="3"/>
      </w:r>
      <w:r w:rsidR="00A402C7" w:rsidRPr="00FE6900">
        <w:rPr>
          <w:rFonts w:cs="Arial"/>
          <w:color w:val="000000"/>
          <w:szCs w:val="20"/>
          <w:vertAlign w:val="superscript"/>
        </w:rPr>
        <w:t>,</w:t>
      </w:r>
      <w:r w:rsidR="00A402C7" w:rsidRPr="00FE6900">
        <w:rPr>
          <w:rStyle w:val="EndnoteReference"/>
          <w:rFonts w:cs="Arial"/>
          <w:color w:val="000000"/>
          <w:szCs w:val="20"/>
        </w:rPr>
        <w:endnoteReference w:id="4"/>
      </w:r>
      <w:r w:rsidR="00A402C7" w:rsidRPr="00FE6900">
        <w:rPr>
          <w:rFonts w:cs="Arial"/>
          <w:color w:val="000000"/>
          <w:szCs w:val="20"/>
          <w:vertAlign w:val="superscript"/>
        </w:rPr>
        <w:t xml:space="preserve"> </w:t>
      </w:r>
      <w:r w:rsidR="00A402C7" w:rsidRPr="00FE6900">
        <w:rPr>
          <w:rFonts w:cs="Arial"/>
          <w:color w:val="000000"/>
          <w:szCs w:val="20"/>
        </w:rPr>
        <w:t xml:space="preserve"> </w:t>
      </w:r>
    </w:p>
    <w:p w:rsidR="00A402C7" w:rsidRPr="00FE6900" w:rsidRDefault="00A402C7" w:rsidP="00FE6900">
      <w:pPr>
        <w:pStyle w:val="AppendixDHeading"/>
        <w:spacing w:line="276" w:lineRule="auto"/>
        <w:rPr>
          <w:rFonts w:ascii="Arial" w:hAnsi="Arial" w:cs="Arial"/>
          <w:sz w:val="20"/>
          <w:szCs w:val="20"/>
        </w:rPr>
      </w:pPr>
      <w:r w:rsidRPr="00FE6900">
        <w:rPr>
          <w:rFonts w:ascii="Arial" w:hAnsi="Arial" w:cs="Arial"/>
          <w:sz w:val="20"/>
          <w:szCs w:val="20"/>
        </w:rPr>
        <w:t>Benefits</w:t>
      </w:r>
    </w:p>
    <w:p w:rsidR="00A402C7" w:rsidRPr="00FE6900" w:rsidRDefault="00A402C7" w:rsidP="00FE6900">
      <w:pPr>
        <w:spacing w:line="276" w:lineRule="auto"/>
        <w:rPr>
          <w:rFonts w:cs="Arial"/>
          <w:szCs w:val="20"/>
        </w:rPr>
      </w:pPr>
      <w:r w:rsidRPr="00FE6900">
        <w:rPr>
          <w:rFonts w:cs="Arial"/>
          <w:szCs w:val="20"/>
        </w:rPr>
        <w:t>The primary benefits of green roofs include retention of rainfall, reduction in stormwater quantity, and overall improvement of water quality.</w:t>
      </w:r>
      <w:r w:rsidRPr="00FE6900">
        <w:rPr>
          <w:rStyle w:val="EndnoteReference"/>
          <w:rFonts w:cs="Arial"/>
          <w:szCs w:val="20"/>
        </w:rPr>
        <w:endnoteReference w:id="5"/>
      </w:r>
      <w:r w:rsidRPr="00FE6900">
        <w:rPr>
          <w:rFonts w:cs="Arial"/>
          <w:szCs w:val="20"/>
        </w:rPr>
        <w:t xml:space="preserve"> Associated benefits may include enhanced stormwater management, reduced building energy demand associated with insulation of the green roof, reduced urban heat islands, improved air quality, reduced pollutant loads, and improved structural durability and roof longevity.</w:t>
      </w:r>
      <w:r w:rsidRPr="00FE6900">
        <w:rPr>
          <w:rStyle w:val="EndnoteReference"/>
          <w:rFonts w:cs="Arial"/>
          <w:szCs w:val="20"/>
        </w:rPr>
        <w:endnoteReference w:id="6"/>
      </w:r>
      <w:r w:rsidRPr="00FE6900">
        <w:rPr>
          <w:rFonts w:cs="Arial"/>
          <w:szCs w:val="20"/>
          <w:vertAlign w:val="superscript"/>
        </w:rPr>
        <w:t>,</w:t>
      </w:r>
      <w:r w:rsidRPr="00FE6900">
        <w:rPr>
          <w:rStyle w:val="EndnoteReference"/>
          <w:rFonts w:cs="Arial"/>
          <w:szCs w:val="20"/>
        </w:rPr>
        <w:endnoteReference w:id="7"/>
      </w:r>
      <w:r w:rsidRPr="00FE6900">
        <w:rPr>
          <w:rFonts w:cs="Arial"/>
          <w:szCs w:val="20"/>
          <w:vertAlign w:val="superscript"/>
        </w:rPr>
        <w:t xml:space="preserve"> </w:t>
      </w:r>
      <w:r w:rsidRPr="00FE6900">
        <w:rPr>
          <w:rFonts w:cs="Arial"/>
          <w:szCs w:val="20"/>
        </w:rPr>
        <w:t>Moreover, green roofs may provide enhanced amenity value and habitat in urban areas.</w:t>
      </w:r>
      <w:r w:rsidRPr="00FE6900">
        <w:rPr>
          <w:rStyle w:val="EndnoteReference"/>
          <w:rFonts w:cs="Arial"/>
          <w:szCs w:val="20"/>
        </w:rPr>
        <w:endnoteReference w:id="8"/>
      </w:r>
      <w:r w:rsidRPr="00FE6900">
        <w:rPr>
          <w:rFonts w:cs="Arial"/>
          <w:szCs w:val="20"/>
        </w:rPr>
        <w:t xml:space="preserve"> For best stormwater management results, green roofs should be used in conjunction with other practices such as bio-infiltration and rain-gardens, where possible.</w:t>
      </w:r>
    </w:p>
    <w:p w:rsidR="00A402C7" w:rsidRPr="00FE6900" w:rsidRDefault="00A402C7" w:rsidP="00FE6900">
      <w:pPr>
        <w:pStyle w:val="AppendixDHeading"/>
        <w:spacing w:line="276" w:lineRule="auto"/>
        <w:rPr>
          <w:rFonts w:ascii="Arial" w:hAnsi="Arial" w:cs="Arial"/>
          <w:sz w:val="20"/>
          <w:szCs w:val="20"/>
        </w:rPr>
      </w:pPr>
      <w:r w:rsidRPr="00FE6900">
        <w:rPr>
          <w:rFonts w:ascii="Arial" w:hAnsi="Arial" w:cs="Arial"/>
          <w:sz w:val="20"/>
          <w:szCs w:val="20"/>
        </w:rPr>
        <w:t>Limitations</w:t>
      </w:r>
    </w:p>
    <w:p w:rsidR="00A402C7" w:rsidRPr="00FE6900" w:rsidRDefault="00A402C7" w:rsidP="00FE6900">
      <w:pPr>
        <w:spacing w:line="276" w:lineRule="auto"/>
        <w:rPr>
          <w:rFonts w:cs="Arial"/>
          <w:szCs w:val="20"/>
        </w:rPr>
      </w:pPr>
      <w:r w:rsidRPr="00FE6900">
        <w:rPr>
          <w:rFonts w:cs="Arial"/>
          <w:szCs w:val="20"/>
        </w:rPr>
        <w:t>The greatest limitation to the installation and use of green roofs is cost relative to standard roofing practices. Estimates indicate that a new green roof may cost approximately $15.52 per square foot and a retrofit may cost as much as $25.87 per square foot (values inflated to January 2010 dollars).</w:t>
      </w:r>
      <w:r w:rsidRPr="00FE6900">
        <w:rPr>
          <w:rStyle w:val="EndnoteReference"/>
          <w:rFonts w:cs="Arial"/>
          <w:szCs w:val="20"/>
        </w:rPr>
        <w:endnoteReference w:id="9"/>
      </w:r>
      <w:r w:rsidRPr="00FE6900">
        <w:rPr>
          <w:rFonts w:cs="Arial"/>
          <w:szCs w:val="20"/>
        </w:rPr>
        <w:t xml:space="preserve"> Costs for a green roof are greater than conventional roofs which have construction costs of approximately $10 per square foot.</w:t>
      </w:r>
      <w:r w:rsidRPr="00FE6900">
        <w:rPr>
          <w:rStyle w:val="EndnoteReference"/>
          <w:rFonts w:cs="Arial"/>
          <w:szCs w:val="20"/>
        </w:rPr>
        <w:endnoteReference w:id="10"/>
      </w:r>
      <w:r w:rsidRPr="00FE6900">
        <w:rPr>
          <w:rFonts w:cs="Arial"/>
          <w:szCs w:val="20"/>
        </w:rPr>
        <w:t xml:space="preserve"> For a 40,000 square foot roof, the increased cost associated for green roof installation ranges from $220,800 to $634,800 for a new and retrofitted roof, respectively. Despite lasting two to three times longer than a conventional roof,</w:t>
      </w:r>
      <w:r w:rsidRPr="00FE6900">
        <w:rPr>
          <w:rStyle w:val="EndnoteReference"/>
          <w:rFonts w:cs="Arial"/>
          <w:szCs w:val="20"/>
        </w:rPr>
        <w:endnoteReference w:id="11"/>
      </w:r>
      <w:r w:rsidRPr="00FE6900">
        <w:rPr>
          <w:rFonts w:cs="Arial"/>
          <w:szCs w:val="20"/>
        </w:rPr>
        <w:t xml:space="preserve"> having decreased replacement costs, and paying for itself within a 20 year roof life</w:t>
      </w:r>
      <w:r w:rsidRPr="00FE6900">
        <w:rPr>
          <w:rStyle w:val="EndnoteReference"/>
          <w:rFonts w:cs="Arial"/>
          <w:szCs w:val="20"/>
        </w:rPr>
        <w:endnoteReference w:id="12"/>
      </w:r>
      <w:r w:rsidRPr="00FE6900">
        <w:rPr>
          <w:rFonts w:cs="Arial"/>
          <w:szCs w:val="20"/>
        </w:rPr>
        <w:t xml:space="preserve"> many property owners remain hesitant to contribute the upfront costs necessary to install a green roof. However, A recent survey of 300 Brooklyn property owners found that approximately 77 percent of respondents would be willing to install a green roof on their property if cost neutral to a conventional roof.</w:t>
      </w:r>
      <w:r w:rsidRPr="00FE6900">
        <w:rPr>
          <w:rStyle w:val="EndnoteReference"/>
          <w:rFonts w:cs="Arial"/>
          <w:szCs w:val="20"/>
        </w:rPr>
        <w:endnoteReference w:id="13"/>
      </w:r>
    </w:p>
    <w:p w:rsidR="00A402C7" w:rsidRPr="00FE6900" w:rsidRDefault="00A402C7" w:rsidP="00FE6900">
      <w:pPr>
        <w:pStyle w:val="AppendixDHeading"/>
        <w:spacing w:line="276" w:lineRule="auto"/>
        <w:rPr>
          <w:rFonts w:ascii="Arial" w:hAnsi="Arial" w:cs="Arial"/>
          <w:sz w:val="20"/>
          <w:szCs w:val="20"/>
        </w:rPr>
      </w:pPr>
      <w:r w:rsidRPr="00FE6900">
        <w:rPr>
          <w:rFonts w:ascii="Arial" w:hAnsi="Arial" w:cs="Arial"/>
          <w:sz w:val="20"/>
          <w:szCs w:val="20"/>
        </w:rPr>
        <w:t>Climate Considerations</w:t>
      </w:r>
    </w:p>
    <w:p w:rsidR="00A402C7" w:rsidRPr="00FE6900" w:rsidRDefault="00A402C7" w:rsidP="00FE6900">
      <w:pPr>
        <w:autoSpaceDE w:val="0"/>
        <w:autoSpaceDN w:val="0"/>
        <w:adjustRightInd w:val="0"/>
        <w:spacing w:line="276" w:lineRule="auto"/>
        <w:rPr>
          <w:rFonts w:cs="Arial"/>
          <w:szCs w:val="20"/>
        </w:rPr>
      </w:pPr>
      <w:r w:rsidRPr="00FE6900">
        <w:rPr>
          <w:rFonts w:cs="Arial"/>
          <w:szCs w:val="20"/>
        </w:rPr>
        <w:t>Green roofs are appropriate for use in warm and cold climates given that the proper vegetation is installed. For example, research at the University of Toronto offers data suggesting that “winter green roofs,” composed of evergreens, juniper shrubs, and thicker soil base, provide heat loss and environmental benefits associated with standard green roofs.</w:t>
      </w:r>
      <w:r w:rsidRPr="00FE6900">
        <w:rPr>
          <w:rStyle w:val="EndnoteReference"/>
          <w:rFonts w:cs="Arial"/>
          <w:szCs w:val="20"/>
        </w:rPr>
        <w:endnoteReference w:id="14"/>
      </w:r>
    </w:p>
    <w:p w:rsidR="00A402C7" w:rsidRPr="00FE6900" w:rsidRDefault="00A402C7" w:rsidP="00FE6900">
      <w:pPr>
        <w:pStyle w:val="AppendixDHeading"/>
        <w:spacing w:line="276" w:lineRule="auto"/>
        <w:rPr>
          <w:rFonts w:ascii="Arial" w:hAnsi="Arial" w:cs="Arial"/>
          <w:sz w:val="20"/>
          <w:szCs w:val="20"/>
        </w:rPr>
      </w:pPr>
      <w:r w:rsidRPr="00FE6900">
        <w:rPr>
          <w:rFonts w:ascii="Arial" w:hAnsi="Arial" w:cs="Arial"/>
          <w:sz w:val="20"/>
          <w:szCs w:val="20"/>
        </w:rPr>
        <w:t>CSO Impact</w:t>
      </w:r>
    </w:p>
    <w:p w:rsidR="00A402C7" w:rsidRPr="00FE6900" w:rsidRDefault="00726551" w:rsidP="00FE6900">
      <w:pPr>
        <w:spacing w:line="276" w:lineRule="auto"/>
        <w:rPr>
          <w:rFonts w:cs="Arial"/>
          <w:szCs w:val="20"/>
        </w:rPr>
      </w:pPr>
      <w:r>
        <w:rPr>
          <w:rFonts w:cs="Arial"/>
          <w:noProof/>
          <w:color w:val="000000"/>
          <w:szCs w:val="20"/>
        </w:rPr>
        <w:drawing>
          <wp:anchor distT="0" distB="0" distL="114300" distR="91440" simplePos="0" relativeHeight="251655680" behindDoc="1" locked="0" layoutInCell="1" allowOverlap="1">
            <wp:simplePos x="0" y="0"/>
            <wp:positionH relativeFrom="margin">
              <wp:posOffset>0</wp:posOffset>
            </wp:positionH>
            <wp:positionV relativeFrom="margin">
              <wp:posOffset>1685290</wp:posOffset>
            </wp:positionV>
            <wp:extent cx="2609850" cy="2077085"/>
            <wp:effectExtent l="19050" t="0" r="0" b="0"/>
            <wp:wrapTight wrapText="bothSides">
              <wp:wrapPolygon edited="0">
                <wp:start x="-158" y="0"/>
                <wp:lineTo x="-158" y="21395"/>
                <wp:lineTo x="21600" y="21395"/>
                <wp:lineTo x="21600" y="0"/>
                <wp:lineTo x="-158" y="0"/>
              </wp:wrapPolygon>
            </wp:wrapTight>
            <wp:docPr id="335" name="Picture 1" descr="Green Ro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Roof 1"/>
                    <pic:cNvPicPr>
                      <a:picLocks noChangeAspect="1" noChangeArrowheads="1"/>
                    </pic:cNvPicPr>
                  </pic:nvPicPr>
                  <pic:blipFill>
                    <a:blip r:embed="rId139"/>
                    <a:srcRect/>
                    <a:stretch>
                      <a:fillRect/>
                    </a:stretch>
                  </pic:blipFill>
                  <pic:spPr bwMode="auto">
                    <a:xfrm>
                      <a:off x="0" y="0"/>
                      <a:ext cx="2609850" cy="2077085"/>
                    </a:xfrm>
                    <a:prstGeom prst="rect">
                      <a:avLst/>
                    </a:prstGeom>
                    <a:noFill/>
                    <a:ln w="9525">
                      <a:noFill/>
                      <a:miter lim="800000"/>
                      <a:headEnd/>
                      <a:tailEnd/>
                    </a:ln>
                  </pic:spPr>
                </pic:pic>
              </a:graphicData>
            </a:graphic>
          </wp:anchor>
        </w:drawing>
      </w:r>
      <w:r w:rsidR="00A402C7" w:rsidRPr="00FE6900">
        <w:rPr>
          <w:rFonts w:cs="Arial"/>
          <w:color w:val="000000"/>
          <w:szCs w:val="20"/>
        </w:rPr>
        <w:t xml:space="preserve">Stormwater retention by green roofs can vary seasonally and by media. During the summer months, a study determined nearly 95 percent of the precipitation was retained. During winter, retention was smaller (&lt;20 percent) and not significant. Seasonally adjusted, retention </w:t>
      </w:r>
      <w:r w:rsidR="00A402C7" w:rsidRPr="00FE6900">
        <w:rPr>
          <w:rFonts w:cs="Arial"/>
          <w:szCs w:val="20"/>
        </w:rPr>
        <w:t>was approximately</w:t>
      </w:r>
      <w:r w:rsidR="00A402C7" w:rsidRPr="00FE6900">
        <w:rPr>
          <w:rFonts w:cs="Arial"/>
          <w:color w:val="000000"/>
          <w:szCs w:val="20"/>
        </w:rPr>
        <w:t xml:space="preserve"> 50 percent of total precipitation during the study period.</w:t>
      </w:r>
      <w:r w:rsidR="00A402C7" w:rsidRPr="00FE6900">
        <w:rPr>
          <w:rStyle w:val="EndnoteReference"/>
          <w:rFonts w:cs="Arial"/>
          <w:color w:val="000000"/>
          <w:szCs w:val="20"/>
        </w:rPr>
        <w:endnoteReference w:id="15"/>
      </w:r>
      <w:r w:rsidR="00A402C7" w:rsidRPr="00FE6900">
        <w:rPr>
          <w:rFonts w:cs="Arial"/>
          <w:color w:val="000000"/>
          <w:szCs w:val="20"/>
        </w:rPr>
        <w:t xml:space="preserve"> Depending on media depth, annual runoff volume reductions can range from 40 percent (for 2 inch media)</w:t>
      </w:r>
      <w:r w:rsidR="00A402C7" w:rsidRPr="00FE6900">
        <w:rPr>
          <w:rStyle w:val="EndnoteReference"/>
          <w:rFonts w:cs="Arial"/>
          <w:color w:val="000000"/>
          <w:szCs w:val="20"/>
        </w:rPr>
        <w:endnoteReference w:id="16"/>
      </w:r>
      <w:r w:rsidR="00A402C7" w:rsidRPr="00FE6900">
        <w:rPr>
          <w:rFonts w:cs="Arial"/>
          <w:color w:val="000000"/>
          <w:szCs w:val="20"/>
        </w:rPr>
        <w:t xml:space="preserve"> to in excess of 50 percent for 3 inch media.</w:t>
      </w:r>
      <w:r w:rsidR="00A402C7" w:rsidRPr="00FE6900">
        <w:rPr>
          <w:rStyle w:val="EndnoteReference"/>
          <w:rFonts w:cs="Arial"/>
          <w:color w:val="000000"/>
          <w:szCs w:val="20"/>
        </w:rPr>
        <w:endnoteReference w:id="17"/>
      </w:r>
      <w:r w:rsidR="00A402C7" w:rsidRPr="00FE6900">
        <w:rPr>
          <w:rFonts w:cs="Arial"/>
          <w:snapToGrid w:val="0"/>
          <w:color w:val="000000"/>
          <w:w w:val="0"/>
          <w:szCs w:val="20"/>
          <w:u w:color="000000"/>
          <w:bdr w:val="none" w:sz="0" w:space="0" w:color="000000"/>
          <w:shd w:val="clear" w:color="000000" w:fill="000000"/>
        </w:rPr>
        <w:t xml:space="preserve"> </w:t>
      </w:r>
    </w:p>
    <w:p w:rsidR="00EA32BF" w:rsidRPr="00FE6900" w:rsidRDefault="00EA32BF" w:rsidP="00FE6900">
      <w:pPr>
        <w:autoSpaceDE w:val="0"/>
        <w:autoSpaceDN w:val="0"/>
        <w:adjustRightInd w:val="0"/>
        <w:spacing w:line="276" w:lineRule="auto"/>
        <w:rPr>
          <w:rFonts w:cs="Arial"/>
          <w:szCs w:val="20"/>
        </w:rPr>
      </w:pPr>
    </w:p>
    <w:p w:rsidR="00D568C4" w:rsidRPr="00FE6900" w:rsidRDefault="00D568C4" w:rsidP="00FE6900">
      <w:pPr>
        <w:autoSpaceDE w:val="0"/>
        <w:autoSpaceDN w:val="0"/>
        <w:adjustRightInd w:val="0"/>
        <w:spacing w:line="276" w:lineRule="auto"/>
        <w:rPr>
          <w:rFonts w:cs="Arial"/>
          <w:szCs w:val="20"/>
        </w:rPr>
      </w:pPr>
    </w:p>
    <w:p w:rsidR="00A402C7" w:rsidRPr="00FE6900" w:rsidRDefault="00430DFB" w:rsidP="00FE6900">
      <w:pPr>
        <w:autoSpaceDE w:val="0"/>
        <w:autoSpaceDN w:val="0"/>
        <w:adjustRightInd w:val="0"/>
        <w:spacing w:line="276" w:lineRule="auto"/>
        <w:rPr>
          <w:rFonts w:cs="Arial"/>
          <w:szCs w:val="20"/>
        </w:rPr>
      </w:pPr>
      <w:r>
        <w:rPr>
          <w:rFonts w:cs="Arial"/>
          <w:noProof/>
          <w:szCs w:val="20"/>
        </w:rPr>
        <mc:AlternateContent>
          <mc:Choice Requires="wps">
            <w:drawing>
              <wp:anchor distT="0" distB="0" distL="114300" distR="114300" simplePos="0" relativeHeight="251656704" behindDoc="0" locked="0" layoutInCell="1" allowOverlap="1">
                <wp:simplePos x="0" y="0"/>
                <wp:positionH relativeFrom="column">
                  <wp:posOffset>-2710815</wp:posOffset>
                </wp:positionH>
                <wp:positionV relativeFrom="paragraph">
                  <wp:posOffset>665480</wp:posOffset>
                </wp:positionV>
                <wp:extent cx="2619375" cy="180975"/>
                <wp:effectExtent l="3810" t="0" r="0" b="1270"/>
                <wp:wrapSquare wrapText="bothSides"/>
                <wp:docPr id="2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09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659D3" w:rsidRPr="00FE6900" w:rsidRDefault="00E659D3" w:rsidP="00FE6900">
                            <w:pPr>
                              <w:jc w:val="center"/>
                              <w:rPr>
                                <w:rFonts w:cs="Arial"/>
                                <w:sz w:val="14"/>
                                <w:szCs w:val="14"/>
                              </w:rPr>
                            </w:pPr>
                            <w:r w:rsidRPr="00FE6900">
                              <w:rPr>
                                <w:rFonts w:cs="Arial"/>
                                <w:sz w:val="14"/>
                                <w:szCs w:val="14"/>
                              </w:rPr>
                              <w:t xml:space="preserve">The Calhoun School, New York, NY. Courtesy of </w:t>
                            </w:r>
                            <w:r w:rsidRPr="00FE6900">
                              <w:rPr>
                                <w:rFonts w:cs="Arial"/>
                                <w:i/>
                                <w:color w:val="000000"/>
                                <w:sz w:val="14"/>
                                <w:szCs w:val="14"/>
                              </w:rPr>
                              <w:t>James D’Addio.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91" type="#_x0000_t202" style="position:absolute;margin-left:-213.45pt;margin-top:52.4pt;width:206.2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" stroked="f" strokeweight=".5pt">
                <v:textbox inset="0,0,0,0">
                  <w:txbxContent>
                    <w:p w:rsidR="00E659D3" w:rsidRPr="00FE6900" w:rsidRDefault="00E659D3" w:rsidP="00FE6900">
                      <w:pPr>
                        <w:jc w:val="center"/>
                        <w:rPr>
                          <w:rFonts w:cs="Arial"/>
                          <w:sz w:val="14"/>
                          <w:szCs w:val="14"/>
                        </w:rPr>
                      </w:pPr>
                      <w:r w:rsidRPr="00FE6900">
                        <w:rPr>
                          <w:rFonts w:cs="Arial"/>
                          <w:sz w:val="14"/>
                          <w:szCs w:val="14"/>
                        </w:rPr>
                        <w:t xml:space="preserve">The Calhoun School, New York, NY. Courtesy of </w:t>
                      </w:r>
                      <w:r w:rsidRPr="00FE6900">
                        <w:rPr>
                          <w:rFonts w:cs="Arial"/>
                          <w:i/>
                          <w:color w:val="000000"/>
                          <w:sz w:val="14"/>
                          <w:szCs w:val="14"/>
                        </w:rPr>
                        <w:t>James D’Addio.</w:t>
                      </w:r>
                    </w:p>
                  </w:txbxContent>
                </v:textbox>
                <w10:wrap type="square"/>
              </v:shape>
            </w:pict>
          </mc:Fallback>
        </mc:AlternateContent>
      </w:r>
      <w:r w:rsidR="00A402C7" w:rsidRPr="00FE6900">
        <w:rPr>
          <w:rFonts w:cs="Arial"/>
          <w:szCs w:val="20"/>
        </w:rPr>
        <w:t>A recent report published for New York City suggests that for every $1,000 invested in new green roof construction, retrofits, and incentivized green roofs, will result in up to 810 gallons, 865 gallons, and 12,000 gallons of annual stormwater reductions, respectively.</w:t>
      </w:r>
      <w:r w:rsidR="00A402C7" w:rsidRPr="00FE6900">
        <w:rPr>
          <w:rStyle w:val="EndnoteReference"/>
          <w:rFonts w:cs="Arial"/>
          <w:szCs w:val="20"/>
        </w:rPr>
        <w:endnoteReference w:id="18"/>
      </w:r>
      <w:r w:rsidR="00A402C7" w:rsidRPr="00FE6900">
        <w:rPr>
          <w:rFonts w:cs="Arial"/>
          <w:noProof/>
          <w:color w:val="000000"/>
          <w:szCs w:val="20"/>
        </w:rPr>
        <w:t xml:space="preserve"> </w:t>
      </w:r>
    </w:p>
    <w:p w:rsidR="00A402C7" w:rsidRPr="00FE6900" w:rsidRDefault="00A402C7" w:rsidP="00FE6900">
      <w:pPr>
        <w:autoSpaceDE w:val="0"/>
        <w:autoSpaceDN w:val="0"/>
        <w:adjustRightInd w:val="0"/>
        <w:spacing w:line="276" w:lineRule="auto"/>
        <w:rPr>
          <w:rFonts w:cs="Arial"/>
          <w:szCs w:val="20"/>
        </w:rPr>
      </w:pPr>
    </w:p>
    <w:p w:rsidR="00A402C7" w:rsidRPr="00FE6900" w:rsidRDefault="00A402C7" w:rsidP="00FE6900">
      <w:pPr>
        <w:spacing w:line="276" w:lineRule="auto"/>
        <w:rPr>
          <w:rFonts w:cs="Arial"/>
          <w:szCs w:val="20"/>
        </w:rPr>
      </w:pPr>
      <w:r w:rsidRPr="00FE6900">
        <w:rPr>
          <w:rFonts w:cs="Arial"/>
          <w:szCs w:val="20"/>
        </w:rPr>
        <w:t>Computer modeling for the District of Columbia estimates that installing 20 million square feet of green roofs, 20 percent of the roof area for all city buildings over 10,000 square feet, over the next 20 years will result in citywide reduction in runoff of 1 percent and CSO discharges of 15 percent.</w:t>
      </w:r>
      <w:r w:rsidRPr="00FE6900">
        <w:rPr>
          <w:rStyle w:val="EndnoteReference"/>
          <w:rFonts w:cs="Arial"/>
          <w:szCs w:val="20"/>
        </w:rPr>
        <w:endnoteReference w:id="19"/>
      </w:r>
      <w:r w:rsidRPr="00FE6900">
        <w:rPr>
          <w:rFonts w:cs="Arial"/>
          <w:szCs w:val="20"/>
        </w:rPr>
        <w:t xml:space="preserve"> These modeling results suggest that green roofs are anticipated to retain and store 430 million gallons of rainwater annually.</w:t>
      </w:r>
      <w:r w:rsidRPr="00FE6900">
        <w:rPr>
          <w:rStyle w:val="EndnoteReference"/>
          <w:rFonts w:cs="Arial"/>
          <w:szCs w:val="20"/>
        </w:rPr>
        <w:endnoteReference w:id="20"/>
      </w:r>
    </w:p>
    <w:p w:rsidR="00A402C7" w:rsidRPr="00FE6900" w:rsidRDefault="00A402C7" w:rsidP="00FE6900">
      <w:pPr>
        <w:pStyle w:val="AppendixDHeading"/>
        <w:spacing w:line="276" w:lineRule="auto"/>
        <w:rPr>
          <w:rFonts w:ascii="Arial" w:hAnsi="Arial" w:cs="Arial"/>
          <w:sz w:val="20"/>
          <w:szCs w:val="20"/>
        </w:rPr>
      </w:pPr>
      <w:r w:rsidRPr="00FE6900">
        <w:rPr>
          <w:rFonts w:ascii="Arial" w:hAnsi="Arial" w:cs="Arial"/>
          <w:sz w:val="20"/>
          <w:szCs w:val="20"/>
        </w:rPr>
        <w:t>Maintenance</w:t>
      </w:r>
    </w:p>
    <w:p w:rsidR="00A402C7" w:rsidRPr="00FE6900" w:rsidRDefault="00A402C7" w:rsidP="00FE6900">
      <w:pPr>
        <w:autoSpaceDE w:val="0"/>
        <w:autoSpaceDN w:val="0"/>
        <w:adjustRightInd w:val="0"/>
        <w:spacing w:line="276" w:lineRule="auto"/>
        <w:rPr>
          <w:rFonts w:cs="Arial"/>
          <w:szCs w:val="20"/>
        </w:rPr>
      </w:pPr>
      <w:r w:rsidRPr="00FE6900">
        <w:rPr>
          <w:rFonts w:cs="Arial"/>
          <w:szCs w:val="20"/>
        </w:rPr>
        <w:t>Maintenance largely depends on the type of green roof system installed and the type of vegetation planted. Green roof maintenance may include watering, fertilizing and weeding and is typically greatest in the first two years as plants become established. Roof drains should be cleared when soil substrate, vegetation or debris clog the drain inlet. Basic maintenance for extensive vegetated covers typically requires about 3 man-hours per 1,000 square feet, annually.</w:t>
      </w:r>
      <w:r w:rsidRPr="00FE6900">
        <w:rPr>
          <w:rStyle w:val="EndnoteReference"/>
          <w:rFonts w:cs="Arial"/>
          <w:szCs w:val="20"/>
        </w:rPr>
        <w:endnoteReference w:id="21"/>
      </w:r>
      <w:r w:rsidRPr="00FE6900">
        <w:rPr>
          <w:rFonts w:cs="Arial"/>
          <w:szCs w:val="20"/>
        </w:rPr>
        <w:t xml:space="preserve"> Maintenance requirements in intensive systems are generally more costly and continuous, compared to extensive systems. The use of native vegetation is recommended to reduce plant maintenance in both extensive and intensive systems. Green roofs should be inspected frequently for leaks and other functional or structural concerns.</w:t>
      </w:r>
      <w:r w:rsidRPr="00FE6900">
        <w:rPr>
          <w:rStyle w:val="EndnoteReference"/>
          <w:rFonts w:cs="Arial"/>
          <w:szCs w:val="20"/>
        </w:rPr>
        <w:endnoteReference w:id="22"/>
      </w:r>
    </w:p>
    <w:p w:rsidR="00A402C7" w:rsidRPr="00FE6900" w:rsidRDefault="00A402C7" w:rsidP="00FE6900">
      <w:pPr>
        <w:pStyle w:val="AppendixDHeading"/>
        <w:spacing w:line="276" w:lineRule="auto"/>
        <w:rPr>
          <w:rFonts w:ascii="Arial" w:hAnsi="Arial" w:cs="Arial"/>
          <w:sz w:val="20"/>
          <w:szCs w:val="20"/>
        </w:rPr>
      </w:pPr>
      <w:r w:rsidRPr="00FE6900">
        <w:rPr>
          <w:rFonts w:ascii="Arial" w:hAnsi="Arial" w:cs="Arial"/>
          <w:sz w:val="20"/>
          <w:szCs w:val="20"/>
        </w:rPr>
        <w:t>Costs</w:t>
      </w:r>
    </w:p>
    <w:p w:rsidR="00A402C7" w:rsidRPr="00FE6900" w:rsidRDefault="00A402C7" w:rsidP="00FE6900">
      <w:pPr>
        <w:spacing w:line="276" w:lineRule="auto"/>
        <w:rPr>
          <w:rFonts w:cs="Arial"/>
          <w:szCs w:val="20"/>
        </w:rPr>
      </w:pPr>
      <w:r w:rsidRPr="00FE6900">
        <w:rPr>
          <w:rFonts w:cs="Arial"/>
          <w:szCs w:val="20"/>
        </w:rPr>
        <w:t>Green roofs cost from $15.52 to $25.87 per square foot to install (January 2010 dollars).</w:t>
      </w:r>
      <w:r w:rsidRPr="00FE6900">
        <w:rPr>
          <w:rStyle w:val="EndnoteReference"/>
          <w:rFonts w:cs="Arial"/>
          <w:szCs w:val="20"/>
        </w:rPr>
        <w:endnoteReference w:id="23"/>
      </w:r>
      <w:r w:rsidRPr="00FE6900">
        <w:rPr>
          <w:rFonts w:cs="Arial"/>
          <w:szCs w:val="20"/>
        </w:rPr>
        <w:t xml:space="preserve"> Roof retrofits and intensive roofs with soil deeper than 6 inches will be more expensive.</w:t>
      </w:r>
      <w:r w:rsidRPr="00FE6900">
        <w:rPr>
          <w:rStyle w:val="EndnoteReference"/>
          <w:rFonts w:cs="Arial"/>
          <w:szCs w:val="20"/>
        </w:rPr>
        <w:endnoteReference w:id="24"/>
      </w:r>
      <w:r w:rsidRPr="00FE6900">
        <w:rPr>
          <w:rFonts w:cs="Arial"/>
          <w:szCs w:val="20"/>
        </w:rPr>
        <w:t xml:space="preserve"> Operating and maintenance costs (January 2010 dollars) are estimated to be approximately $1.74 per square foot per year.</w:t>
      </w:r>
      <w:r w:rsidRPr="00FE6900">
        <w:rPr>
          <w:rStyle w:val="EndnoteReference"/>
          <w:rFonts w:cs="Arial"/>
          <w:szCs w:val="20"/>
        </w:rPr>
        <w:endnoteReference w:id="25"/>
      </w:r>
      <w:r w:rsidRPr="00FE6900">
        <w:rPr>
          <w:rFonts w:cs="Arial"/>
          <w:szCs w:val="20"/>
        </w:rPr>
        <w:t xml:space="preserve"> Although green roof installation costs may be high, relative to other low-impact development BMPs, substantial cost savings may be observed in relation to decreased cooling and heating demand, avoided stormwater facility costs, increased roof longevity; and thus decreased life cycle costs.</w:t>
      </w:r>
      <w:r w:rsidRPr="00FE6900">
        <w:rPr>
          <w:rStyle w:val="EndnoteReference"/>
          <w:rFonts w:cs="Arial"/>
          <w:szCs w:val="20"/>
        </w:rPr>
        <w:endnoteReference w:id="26"/>
      </w:r>
    </w:p>
    <w:p w:rsidR="00A402C7" w:rsidRDefault="00A402C7" w:rsidP="005F74AA">
      <w:pPr>
        <w:rPr>
          <w:rFonts w:ascii="Times New Roman" w:hAnsi="Times New Roman"/>
          <w:sz w:val="24"/>
        </w:rPr>
      </w:pPr>
    </w:p>
    <w:p w:rsidR="00A402C7" w:rsidRDefault="00A402C7">
      <w:pPr>
        <w:rPr>
          <w:rFonts w:ascii="Times New Roman" w:hAnsi="Times New Roman"/>
          <w:sz w:val="24"/>
        </w:rPr>
        <w:sectPr w:rsidR="00A402C7" w:rsidSect="005F01AD">
          <w:endnotePr>
            <w:numFmt w:val="decimal"/>
            <w:numRestart w:val="eachSect"/>
          </w:endnotePr>
          <w:pgSz w:w="12240" w:h="15840"/>
          <w:pgMar w:top="1440" w:right="1440" w:bottom="1440" w:left="1440" w:header="720" w:footer="720" w:gutter="0"/>
          <w:pgNumType w:chapStyle="9"/>
          <w:cols w:space="720"/>
          <w:docGrid w:linePitch="360"/>
        </w:sectPr>
      </w:pPr>
    </w:p>
    <w:p w:rsidR="00A402C7" w:rsidRPr="003D5FE0" w:rsidRDefault="00A402C7" w:rsidP="003D5FE0">
      <w:pPr>
        <w:pBdr>
          <w:bottom w:val="single" w:sz="6" w:space="1" w:color="auto"/>
        </w:pBdr>
        <w:spacing w:line="276" w:lineRule="auto"/>
        <w:jc w:val="center"/>
        <w:rPr>
          <w:rFonts w:cs="Arial"/>
          <w:b/>
          <w:szCs w:val="20"/>
        </w:rPr>
      </w:pPr>
      <w:r w:rsidRPr="003D5FE0">
        <w:rPr>
          <w:rFonts w:cs="Arial"/>
          <w:b/>
          <w:szCs w:val="20"/>
        </w:rPr>
        <w:t>Rain Gardens</w:t>
      </w:r>
    </w:p>
    <w:p w:rsidR="00A402C7" w:rsidRPr="003D5FE0" w:rsidRDefault="00A402C7" w:rsidP="003D5FE0">
      <w:pPr>
        <w:spacing w:line="276" w:lineRule="auto"/>
        <w:rPr>
          <w:rFonts w:cs="Arial"/>
          <w:b/>
          <w:szCs w:val="20"/>
        </w:rPr>
      </w:pPr>
    </w:p>
    <w:p w:rsidR="00A402C7" w:rsidRPr="003D5FE0" w:rsidRDefault="00A402C7" w:rsidP="003D5FE0">
      <w:pPr>
        <w:spacing w:line="276" w:lineRule="auto"/>
        <w:rPr>
          <w:rFonts w:cs="Arial"/>
          <w:szCs w:val="20"/>
        </w:rPr>
      </w:pPr>
      <w:r w:rsidRPr="003D5FE0">
        <w:rPr>
          <w:rFonts w:cs="Arial"/>
          <w:szCs w:val="20"/>
        </w:rPr>
        <w:t>Rain gardens are man-made landscaped depressions designed to collect and store small volumes of stormwater runoff.</w:t>
      </w:r>
      <w:r w:rsidRPr="003D5FE0">
        <w:rPr>
          <w:rStyle w:val="EndnoteReference"/>
          <w:rFonts w:cs="Arial"/>
          <w:szCs w:val="20"/>
        </w:rPr>
        <w:endnoteReference w:id="27"/>
      </w:r>
      <w:r w:rsidRPr="003D5FE0">
        <w:rPr>
          <w:rFonts w:cs="Arial"/>
          <w:szCs w:val="20"/>
        </w:rPr>
        <w:t xml:space="preserve"> Rain gardens provide natural infiltration, directing stormwater to recharge groundwater rather into storm drains.</w:t>
      </w:r>
      <w:r w:rsidRPr="003D5FE0">
        <w:rPr>
          <w:rStyle w:val="EndnoteReference"/>
          <w:rFonts w:cs="Arial"/>
          <w:szCs w:val="20"/>
        </w:rPr>
        <w:endnoteReference w:id="28"/>
      </w:r>
      <w:r w:rsidRPr="003D5FE0">
        <w:rPr>
          <w:rFonts w:cs="Arial"/>
          <w:szCs w:val="20"/>
        </w:rPr>
        <w:t xml:space="preserve">  </w:t>
      </w:r>
    </w:p>
    <w:p w:rsidR="00A402C7" w:rsidRPr="003D5FE0" w:rsidRDefault="00726551" w:rsidP="003D5FE0">
      <w:pPr>
        <w:pStyle w:val="AppendixDHeading"/>
        <w:spacing w:line="276" w:lineRule="auto"/>
        <w:rPr>
          <w:rFonts w:ascii="Arial" w:hAnsi="Arial" w:cs="Arial"/>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margin">
              <wp:posOffset>3204210</wp:posOffset>
            </wp:positionH>
            <wp:positionV relativeFrom="margin">
              <wp:posOffset>1295400</wp:posOffset>
            </wp:positionV>
            <wp:extent cx="2838450" cy="2095500"/>
            <wp:effectExtent l="19050" t="0" r="0" b="0"/>
            <wp:wrapSquare wrapText="bothSides"/>
            <wp:docPr id="334" name="Picture 1" descr="http://www.dep.wv.gov/WWE/Programs/stormwater/MS4/green/raingarden/PublishingImages/Berk%20Co%20RG%20May%202008%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p.wv.gov/WWE/Programs/stormwater/MS4/green/raingarden/PublishingImages/Berk%20Co%20RG%20May%202008%20small.jpg"/>
                    <pic:cNvPicPr>
                      <a:picLocks noChangeAspect="1" noChangeArrowheads="1"/>
                    </pic:cNvPicPr>
                  </pic:nvPicPr>
                  <pic:blipFill>
                    <a:blip r:embed="rId140"/>
                    <a:srcRect/>
                    <a:stretch>
                      <a:fillRect/>
                    </a:stretch>
                  </pic:blipFill>
                  <pic:spPr bwMode="auto">
                    <a:xfrm>
                      <a:off x="0" y="0"/>
                      <a:ext cx="2838450" cy="2095500"/>
                    </a:xfrm>
                    <a:prstGeom prst="rect">
                      <a:avLst/>
                    </a:prstGeom>
                    <a:noFill/>
                    <a:ln w="9525">
                      <a:noFill/>
                      <a:miter lim="800000"/>
                      <a:headEnd/>
                      <a:tailEnd/>
                    </a:ln>
                  </pic:spPr>
                </pic:pic>
              </a:graphicData>
            </a:graphic>
          </wp:anchor>
        </w:drawing>
      </w:r>
      <w:r w:rsidR="00A402C7" w:rsidRPr="003D5FE0">
        <w:rPr>
          <w:rFonts w:ascii="Arial" w:hAnsi="Arial" w:cs="Arial"/>
          <w:sz w:val="20"/>
          <w:szCs w:val="20"/>
        </w:rPr>
        <w:t>Construction</w:t>
      </w:r>
    </w:p>
    <w:p w:rsidR="00A402C7" w:rsidRPr="003D5FE0" w:rsidRDefault="00430DFB" w:rsidP="003D5FE0">
      <w:pPr>
        <w:spacing w:line="276" w:lineRule="auto"/>
        <w:rPr>
          <w:rFonts w:cs="Arial"/>
          <w:szCs w:val="20"/>
        </w:rPr>
      </w:pPr>
      <w:r>
        <w:rPr>
          <w:rFonts w:cs="Arial"/>
          <w:noProof/>
          <w:szCs w:val="20"/>
        </w:rPr>
        <mc:AlternateContent>
          <mc:Choice Requires="wps">
            <w:drawing>
              <wp:anchor distT="0" distB="0" distL="114300" distR="114300" simplePos="0" relativeHeight="251658752" behindDoc="0" locked="0" layoutInCell="1" allowOverlap="0">
                <wp:simplePos x="0" y="0"/>
                <wp:positionH relativeFrom="column">
                  <wp:posOffset>3135630</wp:posOffset>
                </wp:positionH>
                <wp:positionV relativeFrom="paragraph">
                  <wp:posOffset>2107565</wp:posOffset>
                </wp:positionV>
                <wp:extent cx="2830830" cy="485775"/>
                <wp:effectExtent l="1905" t="2540" r="0" b="0"/>
                <wp:wrapSquare wrapText="bothSides"/>
                <wp:docPr id="2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9D3" w:rsidRPr="003D5FE0" w:rsidRDefault="00E659D3" w:rsidP="00A1354D">
                            <w:pPr>
                              <w:jc w:val="center"/>
                              <w:rPr>
                                <w:rFonts w:cs="Arial"/>
                                <w:i/>
                                <w:iCs/>
                                <w:color w:val="000000"/>
                                <w:sz w:val="14"/>
                                <w:szCs w:val="14"/>
                              </w:rPr>
                            </w:pPr>
                            <w:r w:rsidRPr="003D5FE0">
                              <w:rPr>
                                <w:rFonts w:cs="Arial"/>
                                <w:sz w:val="14"/>
                                <w:szCs w:val="14"/>
                              </w:rPr>
                              <w:t xml:space="preserve">Rain Garden located at the Berkeley County Judicial Complex in Martinsburg, West Virginia. 29 April, 2008. Photo Courtesy of: </w:t>
                            </w:r>
                            <w:r w:rsidRPr="003D5FE0">
                              <w:rPr>
                                <w:rFonts w:cs="Arial"/>
                                <w:i/>
                                <w:iCs/>
                                <w:color w:val="000000"/>
                                <w:sz w:val="14"/>
                                <w:szCs w:val="14"/>
                              </w:rPr>
                              <w:t>Sherry Wilkins, WVDE.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92" type="#_x0000_t202" style="position:absolute;margin-left:246.9pt;margin-top:165.95pt;width:222.9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" o:allowoverlap="f" stroked="f">
                <v:textbox>
                  <w:txbxContent>
                    <w:p w:rsidR="00E659D3" w:rsidRPr="003D5FE0" w:rsidRDefault="00E659D3" w:rsidP="00A1354D">
                      <w:pPr>
                        <w:jc w:val="center"/>
                        <w:rPr>
                          <w:rFonts w:cs="Arial"/>
                          <w:i/>
                          <w:iCs/>
                          <w:color w:val="000000"/>
                          <w:sz w:val="14"/>
                          <w:szCs w:val="14"/>
                        </w:rPr>
                      </w:pPr>
                      <w:r w:rsidRPr="003D5FE0">
                        <w:rPr>
                          <w:rFonts w:cs="Arial"/>
                          <w:sz w:val="14"/>
                          <w:szCs w:val="14"/>
                        </w:rPr>
                        <w:t xml:space="preserve">Rain Garden located at the Berkeley County Judicial Complex in Martinsburg, West Virginia. 29 April, 2008. Photo Courtesy of: </w:t>
                      </w:r>
                      <w:r w:rsidRPr="003D5FE0">
                        <w:rPr>
                          <w:rFonts w:cs="Arial"/>
                          <w:i/>
                          <w:iCs/>
                          <w:color w:val="000000"/>
                          <w:sz w:val="14"/>
                          <w:szCs w:val="14"/>
                        </w:rPr>
                        <w:t>Sherry Wilkins, WVDE.</w:t>
                      </w:r>
                    </w:p>
                  </w:txbxContent>
                </v:textbox>
                <w10:wrap type="square"/>
              </v:shape>
            </w:pict>
          </mc:Fallback>
        </mc:AlternateContent>
      </w:r>
      <w:r w:rsidR="00A402C7" w:rsidRPr="003D5FE0">
        <w:rPr>
          <w:rFonts w:cs="Arial"/>
          <w:szCs w:val="20"/>
        </w:rPr>
        <w:t>Rain gardens, commonly used in residential settings,</w:t>
      </w:r>
      <w:r w:rsidR="00A402C7" w:rsidRPr="003D5FE0">
        <w:rPr>
          <w:rStyle w:val="EndnoteReference"/>
          <w:rFonts w:cs="Arial"/>
          <w:szCs w:val="20"/>
        </w:rPr>
        <w:endnoteReference w:id="29"/>
      </w:r>
      <w:r w:rsidR="00A402C7" w:rsidRPr="003D5FE0">
        <w:rPr>
          <w:rFonts w:cs="Arial"/>
          <w:szCs w:val="20"/>
        </w:rPr>
        <w:t xml:space="preserve"> are designed as passive filter systems, with or without an underdrain.  Rain gardens typically require an area of 100 to 300 square feet, where water can collect and infiltrate.</w:t>
      </w:r>
      <w:r w:rsidR="00A402C7" w:rsidRPr="003D5FE0">
        <w:rPr>
          <w:rStyle w:val="EndnoteReference"/>
          <w:rFonts w:cs="Arial"/>
          <w:szCs w:val="20"/>
        </w:rPr>
        <w:endnoteReference w:id="30"/>
      </w:r>
      <w:r w:rsidR="00A402C7" w:rsidRPr="003D5FE0">
        <w:rPr>
          <w:rFonts w:cs="Arial"/>
          <w:szCs w:val="20"/>
        </w:rPr>
        <w:t xml:space="preserve"> Typical design generally include an optional pretreatment, flow entrance, ponding area, a gravel drainage layer used for dispersed infiltration, organic or mulch layer, planting soil and filter media, plant material, sand bed and/or gravel base.</w:t>
      </w:r>
      <w:r w:rsidR="00A402C7" w:rsidRPr="003D5FE0">
        <w:rPr>
          <w:rStyle w:val="EndnoteReference"/>
          <w:rFonts w:cs="Arial"/>
          <w:szCs w:val="20"/>
        </w:rPr>
        <w:endnoteReference w:id="31"/>
      </w:r>
      <w:r w:rsidR="00A402C7" w:rsidRPr="003D5FE0">
        <w:rPr>
          <w:rFonts w:cs="Arial"/>
          <w:szCs w:val="20"/>
          <w:vertAlign w:val="superscript"/>
        </w:rPr>
        <w:t>,</w:t>
      </w:r>
      <w:r w:rsidR="00A402C7" w:rsidRPr="003D5FE0">
        <w:rPr>
          <w:rStyle w:val="EndnoteReference"/>
          <w:rFonts w:cs="Arial"/>
          <w:szCs w:val="20"/>
        </w:rPr>
        <w:endnoteReference w:id="32"/>
      </w:r>
      <w:r w:rsidR="00A402C7" w:rsidRPr="003D5FE0">
        <w:rPr>
          <w:rFonts w:cs="Arial"/>
          <w:szCs w:val="20"/>
        </w:rPr>
        <w:t xml:space="preserve"> Stormwater directed into the rain garden temporarily ponds in the system and seeps into the soils over a period of one to two days.  The ideal soil composition for infiltration </w:t>
      </w:r>
      <w:r w:rsidR="00A402C7" w:rsidRPr="003D5FE0">
        <w:rPr>
          <w:rStyle w:val="apple-style-span"/>
          <w:rFonts w:cs="Arial"/>
          <w:color w:val="000000"/>
          <w:szCs w:val="20"/>
        </w:rPr>
        <w:t>typically contains 50 to 60 percent</w:t>
      </w:r>
      <w:r w:rsidR="00A402C7" w:rsidRPr="003D5FE0">
        <w:rPr>
          <w:rStyle w:val="apple-converted-space"/>
          <w:rFonts w:cs="Arial"/>
          <w:color w:val="000000"/>
          <w:szCs w:val="20"/>
        </w:rPr>
        <w:t> sand</w:t>
      </w:r>
      <w:r w:rsidR="00A402C7" w:rsidRPr="003D5FE0">
        <w:rPr>
          <w:rStyle w:val="apple-style-span"/>
          <w:rFonts w:cs="Arial"/>
          <w:color w:val="000000"/>
          <w:szCs w:val="20"/>
        </w:rPr>
        <w:t>, 20 to 30 percent</w:t>
      </w:r>
      <w:r w:rsidR="00A402C7" w:rsidRPr="003D5FE0">
        <w:rPr>
          <w:rStyle w:val="apple-converted-space"/>
          <w:rFonts w:cs="Arial"/>
          <w:color w:val="000000"/>
          <w:szCs w:val="20"/>
        </w:rPr>
        <w:t> compost</w:t>
      </w:r>
      <w:r w:rsidR="00A402C7" w:rsidRPr="003D5FE0">
        <w:rPr>
          <w:rStyle w:val="apple-style-span"/>
          <w:rFonts w:cs="Arial"/>
          <w:color w:val="000000"/>
          <w:szCs w:val="20"/>
        </w:rPr>
        <w:t>, and 20 to 30 percent topsoil.</w:t>
      </w:r>
      <w:r w:rsidR="00A402C7" w:rsidRPr="003D5FE0">
        <w:rPr>
          <w:rStyle w:val="EndnoteReference"/>
          <w:rFonts w:cs="Arial"/>
          <w:color w:val="000000"/>
          <w:szCs w:val="20"/>
        </w:rPr>
        <w:endnoteReference w:id="33"/>
      </w:r>
      <w:r w:rsidR="00A402C7" w:rsidRPr="003D5FE0">
        <w:rPr>
          <w:rStyle w:val="apple-style-span"/>
          <w:rFonts w:cs="Arial"/>
          <w:color w:val="000000"/>
          <w:szCs w:val="20"/>
        </w:rPr>
        <w:t xml:space="preserve"> Areas in which soils are not permeable enough to allow water to infiltrate and drain should be amended, to be closer to the ideal composition, prior to rain garden construction.</w:t>
      </w:r>
      <w:r w:rsidR="00A402C7" w:rsidRPr="003D5FE0">
        <w:rPr>
          <w:rFonts w:cs="Arial"/>
          <w:color w:val="000000"/>
          <w:szCs w:val="20"/>
        </w:rPr>
        <w:t xml:space="preserve"> </w:t>
      </w:r>
    </w:p>
    <w:p w:rsidR="00A402C7" w:rsidRPr="003D5FE0" w:rsidRDefault="00A402C7" w:rsidP="003D5FE0">
      <w:pPr>
        <w:pStyle w:val="AppendixDHeading"/>
        <w:spacing w:line="276" w:lineRule="auto"/>
        <w:rPr>
          <w:rFonts w:ascii="Arial" w:hAnsi="Arial" w:cs="Arial"/>
          <w:sz w:val="20"/>
          <w:szCs w:val="20"/>
        </w:rPr>
      </w:pPr>
      <w:r w:rsidRPr="003D5FE0">
        <w:rPr>
          <w:rFonts w:ascii="Arial" w:hAnsi="Arial" w:cs="Arial"/>
          <w:sz w:val="20"/>
          <w:szCs w:val="20"/>
        </w:rPr>
        <w:t>Benefits</w:t>
      </w:r>
    </w:p>
    <w:p w:rsidR="00A402C7" w:rsidRPr="003D5FE0" w:rsidRDefault="00A402C7" w:rsidP="003D5FE0">
      <w:pPr>
        <w:autoSpaceDE w:val="0"/>
        <w:autoSpaceDN w:val="0"/>
        <w:adjustRightInd w:val="0"/>
        <w:spacing w:line="276" w:lineRule="auto"/>
        <w:rPr>
          <w:rFonts w:cs="Arial"/>
          <w:szCs w:val="20"/>
        </w:rPr>
      </w:pPr>
      <w:r w:rsidRPr="003D5FE0">
        <w:rPr>
          <w:rFonts w:cs="Arial"/>
          <w:szCs w:val="20"/>
        </w:rPr>
        <w:t>Rain gardens provide many benefits; the most notable include pollutant treatment, groundwater recharge augmentation, addition of micro-scale habitat, aesthetic improvement, and transpiration via the planted vegetation.</w:t>
      </w:r>
      <w:r w:rsidRPr="003D5FE0">
        <w:rPr>
          <w:rStyle w:val="EndnoteReference"/>
          <w:rFonts w:cs="Arial"/>
          <w:szCs w:val="20"/>
        </w:rPr>
        <w:endnoteReference w:id="34"/>
      </w:r>
    </w:p>
    <w:p w:rsidR="00A402C7" w:rsidRPr="003D5FE0" w:rsidRDefault="00A402C7" w:rsidP="003D5FE0">
      <w:pPr>
        <w:pStyle w:val="AppendixDHeading"/>
        <w:spacing w:line="276" w:lineRule="auto"/>
        <w:rPr>
          <w:rFonts w:ascii="Arial" w:hAnsi="Arial" w:cs="Arial"/>
          <w:sz w:val="20"/>
          <w:szCs w:val="20"/>
        </w:rPr>
      </w:pPr>
      <w:r w:rsidRPr="003D5FE0">
        <w:rPr>
          <w:rFonts w:ascii="Arial" w:hAnsi="Arial" w:cs="Arial"/>
          <w:sz w:val="20"/>
          <w:szCs w:val="20"/>
        </w:rPr>
        <w:t>Limitations</w:t>
      </w:r>
    </w:p>
    <w:p w:rsidR="00A402C7" w:rsidRPr="003D5FE0" w:rsidRDefault="00A402C7" w:rsidP="003D5FE0">
      <w:pPr>
        <w:spacing w:line="276" w:lineRule="auto"/>
        <w:rPr>
          <w:rFonts w:cs="Arial"/>
          <w:szCs w:val="20"/>
        </w:rPr>
      </w:pPr>
      <w:r w:rsidRPr="003D5FE0">
        <w:rPr>
          <w:rFonts w:cs="Arial"/>
          <w:szCs w:val="20"/>
        </w:rPr>
        <w:t>Rain gardens are fully functional in most settings. The most notable limitations to rain gardens are design limitations.  For example, rain gardens require relatively flat slopes, augmentation based on soil type may be necessary to provide appropriate infiltration, and rain gardens cannot be used to treat large drainage areas including parking lots or roadway runoff.</w:t>
      </w:r>
      <w:r w:rsidRPr="003D5FE0">
        <w:rPr>
          <w:rStyle w:val="EndnoteReference"/>
          <w:rFonts w:cs="Arial"/>
          <w:szCs w:val="20"/>
        </w:rPr>
        <w:endnoteReference w:id="35"/>
      </w:r>
    </w:p>
    <w:p w:rsidR="00A402C7" w:rsidRPr="003D5FE0" w:rsidRDefault="00A402C7" w:rsidP="003D5FE0">
      <w:pPr>
        <w:pStyle w:val="AppendixDHeading"/>
        <w:spacing w:line="276" w:lineRule="auto"/>
        <w:rPr>
          <w:rFonts w:ascii="Arial" w:hAnsi="Arial" w:cs="Arial"/>
          <w:sz w:val="20"/>
          <w:szCs w:val="20"/>
        </w:rPr>
      </w:pPr>
      <w:r w:rsidRPr="003D5FE0">
        <w:rPr>
          <w:rFonts w:ascii="Arial" w:hAnsi="Arial" w:cs="Arial"/>
          <w:sz w:val="20"/>
          <w:szCs w:val="20"/>
        </w:rPr>
        <w:t>Climate Considerations</w:t>
      </w:r>
    </w:p>
    <w:p w:rsidR="00A402C7" w:rsidRPr="003D5FE0" w:rsidRDefault="00A402C7" w:rsidP="003D5FE0">
      <w:pPr>
        <w:spacing w:line="276" w:lineRule="auto"/>
        <w:rPr>
          <w:rFonts w:cs="Arial"/>
          <w:szCs w:val="20"/>
        </w:rPr>
      </w:pPr>
      <w:r w:rsidRPr="003D5FE0">
        <w:rPr>
          <w:rFonts w:cs="Arial"/>
          <w:szCs w:val="20"/>
        </w:rPr>
        <w:t>Rain gardens are appropriate for almost every climate in the United States.</w:t>
      </w:r>
      <w:r w:rsidRPr="003D5FE0">
        <w:rPr>
          <w:rStyle w:val="EndnoteReference"/>
          <w:rFonts w:cs="Arial"/>
          <w:szCs w:val="20"/>
        </w:rPr>
        <w:endnoteReference w:id="36"/>
      </w:r>
      <w:r w:rsidRPr="003D5FE0">
        <w:rPr>
          <w:rFonts w:cs="Arial"/>
          <w:szCs w:val="20"/>
        </w:rPr>
        <w:t xml:space="preserve"> However, since rain gardens rely on a successful plant community to stabilize the ponding area, promote infiltration, and uptake pollutants, plant species must be selected that are adaptable to the given climate.</w:t>
      </w:r>
      <w:r w:rsidRPr="003D5FE0">
        <w:rPr>
          <w:rStyle w:val="EndnoteReference"/>
          <w:rFonts w:cs="Arial"/>
          <w:szCs w:val="20"/>
        </w:rPr>
        <w:endnoteReference w:id="37"/>
      </w:r>
      <w:r w:rsidRPr="003D5FE0">
        <w:rPr>
          <w:rFonts w:cs="Arial"/>
          <w:szCs w:val="20"/>
        </w:rPr>
        <w:t xml:space="preserve"> For best results, native plant species are suggested for planting.</w:t>
      </w:r>
      <w:r w:rsidRPr="003D5FE0">
        <w:rPr>
          <w:rFonts w:cs="Arial"/>
          <w:noProof/>
          <w:szCs w:val="20"/>
        </w:rPr>
        <w:t xml:space="preserve"> </w:t>
      </w:r>
    </w:p>
    <w:p w:rsidR="00A402C7" w:rsidRPr="003D5FE0" w:rsidRDefault="00A402C7" w:rsidP="003D5FE0">
      <w:pPr>
        <w:pStyle w:val="AppendixDHeading"/>
        <w:spacing w:line="276" w:lineRule="auto"/>
        <w:rPr>
          <w:rFonts w:ascii="Arial" w:hAnsi="Arial" w:cs="Arial"/>
          <w:sz w:val="20"/>
          <w:szCs w:val="20"/>
        </w:rPr>
      </w:pPr>
      <w:r w:rsidRPr="003D5FE0">
        <w:rPr>
          <w:rFonts w:ascii="Arial" w:hAnsi="Arial" w:cs="Arial"/>
          <w:sz w:val="20"/>
          <w:szCs w:val="20"/>
        </w:rPr>
        <w:t>CSO Impact</w:t>
      </w:r>
    </w:p>
    <w:p w:rsidR="00A402C7" w:rsidRPr="003D5FE0" w:rsidRDefault="00A402C7" w:rsidP="003D5FE0">
      <w:pPr>
        <w:spacing w:line="276" w:lineRule="auto"/>
        <w:rPr>
          <w:rFonts w:cs="Arial"/>
          <w:color w:val="231F20"/>
          <w:szCs w:val="20"/>
        </w:rPr>
      </w:pPr>
      <w:r w:rsidRPr="003D5FE0">
        <w:rPr>
          <w:rFonts w:cs="Arial"/>
          <w:szCs w:val="20"/>
        </w:rPr>
        <w:t>Several studies have demonstrated that the installation of rain gardens can reduce CSO volume.  One residential area model simulation suggested a 36 percent reduction in combined sewer overflow volume during major storm events, assuming 100 percent implementation of the rain gardens’ design plan.</w:t>
      </w:r>
      <w:r w:rsidRPr="003D5FE0">
        <w:rPr>
          <w:rStyle w:val="EndnoteReference"/>
          <w:rFonts w:cs="Arial"/>
          <w:szCs w:val="20"/>
        </w:rPr>
        <w:endnoteReference w:id="38"/>
      </w:r>
      <w:r w:rsidRPr="003D5FE0">
        <w:rPr>
          <w:rFonts w:cs="Arial"/>
          <w:szCs w:val="20"/>
        </w:rPr>
        <w:t xml:space="preserve"> </w:t>
      </w:r>
      <w:r w:rsidRPr="003D5FE0">
        <w:rPr>
          <w:rFonts w:cs="Arial"/>
          <w:color w:val="231F20"/>
          <w:szCs w:val="20"/>
        </w:rPr>
        <w:t>A hydraulic modeling study for the Norwood Park sewershed, a neighborhood outside of Chicago, Illinois, determined that three-inch and six-inch-deep rain gardens installed at each home could reduce total runoff volume by approximately 4 percent and 7 percent, respectively, for the same six-month or one-year storm events.</w:t>
      </w:r>
      <w:r w:rsidRPr="003D5FE0">
        <w:rPr>
          <w:rStyle w:val="EndnoteReference"/>
          <w:rFonts w:cs="Arial"/>
          <w:color w:val="231F20"/>
          <w:szCs w:val="20"/>
        </w:rPr>
        <w:endnoteReference w:id="39"/>
      </w:r>
    </w:p>
    <w:p w:rsidR="00A402C7" w:rsidRPr="003D5FE0" w:rsidRDefault="00726551" w:rsidP="003D5FE0">
      <w:pPr>
        <w:pStyle w:val="AppendixDHeading"/>
        <w:spacing w:line="276" w:lineRule="auto"/>
        <w:rPr>
          <w:rFonts w:ascii="Arial" w:hAnsi="Arial" w:cs="Arial"/>
          <w:sz w:val="20"/>
          <w:szCs w:val="20"/>
        </w:rPr>
      </w:pPr>
      <w:r>
        <w:rPr>
          <w:rFonts w:cs="Arial"/>
          <w:noProof/>
          <w:szCs w:val="20"/>
        </w:rPr>
        <w:drawing>
          <wp:anchor distT="0" distB="0" distL="114300" distR="182880" simplePos="0" relativeHeight="251677184" behindDoc="0" locked="0" layoutInCell="1" allowOverlap="1">
            <wp:simplePos x="0" y="0"/>
            <wp:positionH relativeFrom="margin">
              <wp:posOffset>3013710</wp:posOffset>
            </wp:positionH>
            <wp:positionV relativeFrom="margin">
              <wp:posOffset>611505</wp:posOffset>
            </wp:positionV>
            <wp:extent cx="2943225" cy="2190750"/>
            <wp:effectExtent l="19050" t="0" r="9525" b="0"/>
            <wp:wrapSquare wrapText="bothSides"/>
            <wp:docPr id="339" name="Picture 1" descr="http://www.mdidesign.ca/wp-content/uploads/2010/01/trent_rainga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didesign.ca/wp-content/uploads/2010/01/trent_raingarden.png"/>
                    <pic:cNvPicPr>
                      <a:picLocks noChangeAspect="1" noChangeArrowheads="1"/>
                    </pic:cNvPicPr>
                  </pic:nvPicPr>
                  <pic:blipFill>
                    <a:blip r:embed="rId141"/>
                    <a:srcRect/>
                    <a:stretch>
                      <a:fillRect/>
                    </a:stretch>
                  </pic:blipFill>
                  <pic:spPr bwMode="auto">
                    <a:xfrm>
                      <a:off x="0" y="0"/>
                      <a:ext cx="2943225" cy="2190750"/>
                    </a:xfrm>
                    <a:prstGeom prst="rect">
                      <a:avLst/>
                    </a:prstGeom>
                    <a:noFill/>
                    <a:ln w="9525">
                      <a:noFill/>
                      <a:miter lim="800000"/>
                      <a:headEnd/>
                      <a:tailEnd/>
                    </a:ln>
                  </pic:spPr>
                </pic:pic>
              </a:graphicData>
            </a:graphic>
          </wp:anchor>
        </w:drawing>
      </w:r>
      <w:r w:rsidR="00A402C7" w:rsidRPr="003D5FE0">
        <w:rPr>
          <w:rFonts w:ascii="Arial" w:hAnsi="Arial" w:cs="Arial"/>
          <w:sz w:val="20"/>
          <w:szCs w:val="20"/>
        </w:rPr>
        <w:t>Maintenance</w:t>
      </w:r>
    </w:p>
    <w:p w:rsidR="00A402C7" w:rsidRPr="003D5FE0" w:rsidRDefault="00430DFB" w:rsidP="003D5FE0">
      <w:pPr>
        <w:autoSpaceDE w:val="0"/>
        <w:autoSpaceDN w:val="0"/>
        <w:adjustRightInd w:val="0"/>
        <w:spacing w:line="276" w:lineRule="auto"/>
        <w:rPr>
          <w:rFonts w:cs="Arial"/>
          <w:szCs w:val="20"/>
        </w:rPr>
      </w:pPr>
      <w:r>
        <w:rPr>
          <w:rFonts w:cs="Arial"/>
          <w:noProof/>
          <w:szCs w:val="20"/>
        </w:rPr>
        <mc:AlternateContent>
          <mc:Choice Requires="wps">
            <w:drawing>
              <wp:anchor distT="0" distB="0" distL="114300" distR="114300" simplePos="0" relativeHeight="251678208" behindDoc="0" locked="0" layoutInCell="1" allowOverlap="1">
                <wp:simplePos x="0" y="0"/>
                <wp:positionH relativeFrom="column">
                  <wp:posOffset>2956560</wp:posOffset>
                </wp:positionH>
                <wp:positionV relativeFrom="paragraph">
                  <wp:posOffset>1844675</wp:posOffset>
                </wp:positionV>
                <wp:extent cx="3000375" cy="390525"/>
                <wp:effectExtent l="3810" t="0" r="0" b="3175"/>
                <wp:wrapSquare wrapText="bothSides"/>
                <wp:docPr id="2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9D3" w:rsidRPr="003D5FE0" w:rsidRDefault="00E659D3" w:rsidP="00A1354D">
                            <w:pPr>
                              <w:jc w:val="center"/>
                              <w:rPr>
                                <w:rFonts w:cs="Arial"/>
                                <w:sz w:val="14"/>
                                <w:szCs w:val="14"/>
                              </w:rPr>
                            </w:pPr>
                            <w:r w:rsidRPr="003D5FE0">
                              <w:rPr>
                                <w:rFonts w:cs="Arial"/>
                                <w:sz w:val="14"/>
                                <w:szCs w:val="14"/>
                              </w:rPr>
                              <w:t xml:space="preserve">Trent Street Rain Gardens, Victoria, BC, Canada. Courtesy of </w:t>
                            </w:r>
                            <w:r w:rsidRPr="003D5FE0">
                              <w:rPr>
                                <w:rFonts w:cs="Arial"/>
                                <w:i/>
                                <w:sz w:val="14"/>
                                <w:szCs w:val="14"/>
                              </w:rPr>
                              <w:t>Murdoch de Greeff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93" type="#_x0000_t202" style="position:absolute;margin-left:232.8pt;margin-top:145.25pt;width:236.25pt;height:30.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f0iQ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" stroked="f">
                <v:textbox>
                  <w:txbxContent>
                    <w:p w:rsidR="00E659D3" w:rsidRPr="003D5FE0" w:rsidRDefault="00E659D3" w:rsidP="00A1354D">
                      <w:pPr>
                        <w:jc w:val="center"/>
                        <w:rPr>
                          <w:rFonts w:cs="Arial"/>
                          <w:sz w:val="14"/>
                          <w:szCs w:val="14"/>
                        </w:rPr>
                      </w:pPr>
                      <w:r w:rsidRPr="003D5FE0">
                        <w:rPr>
                          <w:rFonts w:cs="Arial"/>
                          <w:sz w:val="14"/>
                          <w:szCs w:val="14"/>
                        </w:rPr>
                        <w:t xml:space="preserve">Trent Street Rain Gardens, Victoria, BC, Canada. Courtesy of </w:t>
                      </w:r>
                      <w:r w:rsidRPr="003D5FE0">
                        <w:rPr>
                          <w:rFonts w:cs="Arial"/>
                          <w:i/>
                          <w:sz w:val="14"/>
                          <w:szCs w:val="14"/>
                        </w:rPr>
                        <w:t>Murdoch de Greeff Inc.</w:t>
                      </w:r>
                    </w:p>
                  </w:txbxContent>
                </v:textbox>
                <w10:wrap type="square"/>
              </v:shape>
            </w:pict>
          </mc:Fallback>
        </mc:AlternateContent>
      </w:r>
      <w:r w:rsidR="00A402C7" w:rsidRPr="003D5FE0">
        <w:rPr>
          <w:rFonts w:cs="Arial"/>
          <w:szCs w:val="20"/>
        </w:rPr>
        <w:t>Properly designed and installed rain gardens require regular maintenance. Rain gardens require living plants; thus pruning and weeding may be required, particularly during vegetation establishment. Mulch should be reapplied as needed when erosion is evident or once every 2 to 3 years. Rain gardens should be inspected at least two times per year for sediment buildup, detritus, erosion, etc. Trees and shrubs should be inspected twice per year to evaluate health.</w:t>
      </w:r>
      <w:r w:rsidR="00A402C7" w:rsidRPr="003D5FE0">
        <w:rPr>
          <w:rStyle w:val="EndnoteReference"/>
          <w:rFonts w:cs="Arial"/>
          <w:szCs w:val="20"/>
        </w:rPr>
        <w:endnoteReference w:id="40"/>
      </w:r>
      <w:r w:rsidR="00A402C7" w:rsidRPr="003D5FE0">
        <w:rPr>
          <w:rFonts w:cs="Arial"/>
          <w:szCs w:val="20"/>
        </w:rPr>
        <w:t xml:space="preserve"> During periods of extended drought, rain gardens may require watering.</w:t>
      </w:r>
    </w:p>
    <w:p w:rsidR="00A402C7" w:rsidRPr="003D5FE0" w:rsidRDefault="00A402C7" w:rsidP="003D5FE0">
      <w:pPr>
        <w:pStyle w:val="AppendixDHeading"/>
        <w:spacing w:line="276" w:lineRule="auto"/>
        <w:rPr>
          <w:rFonts w:ascii="Arial" w:hAnsi="Arial" w:cs="Arial"/>
          <w:sz w:val="20"/>
          <w:szCs w:val="20"/>
        </w:rPr>
      </w:pPr>
      <w:r w:rsidRPr="003D5FE0">
        <w:rPr>
          <w:rFonts w:ascii="Arial" w:hAnsi="Arial" w:cs="Arial"/>
          <w:sz w:val="20"/>
          <w:szCs w:val="20"/>
        </w:rPr>
        <w:t>Costs</w:t>
      </w:r>
    </w:p>
    <w:p w:rsidR="003D5FE0" w:rsidRPr="003D5FE0" w:rsidRDefault="00A402C7" w:rsidP="003D5FE0">
      <w:pPr>
        <w:spacing w:line="276" w:lineRule="auto"/>
        <w:rPr>
          <w:rFonts w:cs="Arial"/>
          <w:color w:val="000000"/>
          <w:szCs w:val="20"/>
        </w:rPr>
      </w:pPr>
      <w:r w:rsidRPr="003D5FE0">
        <w:rPr>
          <w:rFonts w:cs="Arial"/>
          <w:szCs w:val="20"/>
        </w:rPr>
        <w:t xml:space="preserve">Construction costs associated with rain gardens vary depending on installation costs, size, and native plants selected. </w:t>
      </w:r>
      <w:r w:rsidRPr="003D5FE0">
        <w:rPr>
          <w:rFonts w:cs="Arial"/>
          <w:color w:val="000000"/>
          <w:szCs w:val="20"/>
        </w:rPr>
        <w:t>A recent study generalized the inflated cost for bioretention construction as follows:</w:t>
      </w:r>
      <w:r w:rsidRPr="003D5FE0">
        <w:rPr>
          <w:rStyle w:val="EndnoteReference"/>
          <w:rFonts w:cs="Arial"/>
          <w:color w:val="000000"/>
          <w:szCs w:val="20"/>
        </w:rPr>
        <w:endnoteReference w:id="41"/>
      </w:r>
    </w:p>
    <w:p w:rsidR="003D5FE0" w:rsidRPr="003D5FE0" w:rsidRDefault="003D5FE0" w:rsidP="003D5FE0">
      <w:pPr>
        <w:pStyle w:val="NormalWeb"/>
        <w:spacing w:line="276" w:lineRule="auto"/>
        <w:rPr>
          <w:rFonts w:cs="Arial"/>
          <w:color w:val="000000"/>
          <w:szCs w:val="20"/>
          <w:vertAlign w:val="superscript"/>
        </w:rPr>
      </w:pPr>
      <w:r>
        <w:rPr>
          <w:rFonts w:cs="Arial"/>
          <w:color w:val="000000"/>
          <w:szCs w:val="20"/>
        </w:rPr>
        <w:t xml:space="preserve">       </w:t>
      </w:r>
      <w:r w:rsidR="00A402C7" w:rsidRPr="003D5FE0">
        <w:rPr>
          <w:rFonts w:cs="Arial"/>
          <w:color w:val="000000"/>
          <w:szCs w:val="20"/>
        </w:rPr>
        <w:t>Construction, design and permitting cost = 7.30 (Volume of water treated by the facility, ft</w:t>
      </w:r>
      <w:r w:rsidR="00A402C7" w:rsidRPr="003D5FE0">
        <w:rPr>
          <w:rFonts w:cs="Arial"/>
          <w:color w:val="000000"/>
          <w:szCs w:val="20"/>
          <w:vertAlign w:val="superscript"/>
        </w:rPr>
        <w:t>3</w:t>
      </w:r>
      <w:r w:rsidR="00A402C7" w:rsidRPr="003D5FE0">
        <w:rPr>
          <w:rFonts w:cs="Arial"/>
          <w:color w:val="000000"/>
          <w:szCs w:val="20"/>
        </w:rPr>
        <w:t>)</w:t>
      </w:r>
      <w:r w:rsidR="00A402C7" w:rsidRPr="003D5FE0">
        <w:rPr>
          <w:rFonts w:cs="Arial"/>
          <w:color w:val="000000"/>
          <w:szCs w:val="20"/>
          <w:vertAlign w:val="superscript"/>
        </w:rPr>
        <w:t>0.99</w:t>
      </w:r>
    </w:p>
    <w:p w:rsidR="00A402C7" w:rsidRDefault="00A402C7" w:rsidP="003D5FE0">
      <w:pPr>
        <w:spacing w:line="276" w:lineRule="auto"/>
        <w:rPr>
          <w:rFonts w:ascii="Times New Roman" w:hAnsi="Times New Roman"/>
          <w:sz w:val="24"/>
        </w:rPr>
      </w:pPr>
      <w:r w:rsidRPr="003D5FE0">
        <w:rPr>
          <w:rFonts w:cs="Arial"/>
          <w:szCs w:val="20"/>
        </w:rPr>
        <w:t>For self-installed rain gardens, costs inflated to January 2010 dollars generally range between $3.88 and $6.47 per square foot. Costs associated with hiring a landscaping company to install a residential rain garden can be in excess of $15 per square foot (January 2010 dollars).</w:t>
      </w:r>
      <w:r w:rsidRPr="003D5FE0">
        <w:rPr>
          <w:rStyle w:val="EndnoteReference"/>
          <w:rFonts w:cs="Arial"/>
          <w:szCs w:val="20"/>
        </w:rPr>
        <w:endnoteReference w:id="42"/>
      </w:r>
      <w:r w:rsidRPr="003D5FE0">
        <w:rPr>
          <w:rFonts w:cs="Arial"/>
          <w:szCs w:val="20"/>
          <w:vertAlign w:val="superscript"/>
        </w:rPr>
        <w:t>,</w:t>
      </w:r>
      <w:r w:rsidRPr="003D5FE0">
        <w:rPr>
          <w:rStyle w:val="EndnoteReference"/>
          <w:rFonts w:cs="Arial"/>
          <w:szCs w:val="20"/>
        </w:rPr>
        <w:endnoteReference w:id="43"/>
      </w:r>
      <w:r w:rsidRPr="003D5FE0">
        <w:rPr>
          <w:rFonts w:cs="Arial"/>
          <w:szCs w:val="20"/>
        </w:rPr>
        <w:t xml:space="preserve"> Operating and maintenance costs are estimated at 5.0 to 10.9 percent of the construction costs, annually. Based on a construction cost of approximately $15, annual operation and maintenance costs (January 2010 dollars) are estimated to be approximately $1.69/per square feet of drainage.</w:t>
      </w:r>
      <w:r w:rsidRPr="003D5FE0">
        <w:rPr>
          <w:rStyle w:val="EndnoteReference"/>
          <w:rFonts w:cs="Arial"/>
          <w:szCs w:val="20"/>
        </w:rPr>
        <w:endnoteReference w:id="44"/>
      </w:r>
    </w:p>
    <w:p w:rsidR="00A402C7" w:rsidRDefault="00A402C7" w:rsidP="005F74AA">
      <w:pPr>
        <w:rPr>
          <w:rFonts w:ascii="Times New Roman" w:hAnsi="Times New Roman"/>
          <w:sz w:val="24"/>
        </w:rPr>
      </w:pPr>
    </w:p>
    <w:p w:rsidR="00A402C7" w:rsidRDefault="00A402C7" w:rsidP="005F74AA">
      <w:pPr>
        <w:rPr>
          <w:rFonts w:ascii="Times New Roman" w:hAnsi="Times New Roman"/>
          <w:sz w:val="24"/>
        </w:rPr>
        <w:sectPr w:rsidR="00A402C7" w:rsidSect="005F01AD">
          <w:endnotePr>
            <w:numFmt w:val="decimal"/>
            <w:numRestart w:val="eachSect"/>
          </w:endnotePr>
          <w:pgSz w:w="12240" w:h="15840"/>
          <w:pgMar w:top="1440" w:right="1440" w:bottom="1440" w:left="1440" w:header="720" w:footer="720" w:gutter="0"/>
          <w:pgNumType w:chapStyle="9"/>
          <w:cols w:space="720"/>
          <w:docGrid w:linePitch="360"/>
        </w:sectPr>
      </w:pPr>
    </w:p>
    <w:p w:rsidR="00A402C7" w:rsidRPr="009D0A2B" w:rsidRDefault="00A402C7" w:rsidP="009D0A2B">
      <w:pPr>
        <w:pBdr>
          <w:bottom w:val="single" w:sz="6" w:space="1" w:color="auto"/>
        </w:pBdr>
        <w:spacing w:line="276" w:lineRule="auto"/>
        <w:jc w:val="center"/>
        <w:rPr>
          <w:rFonts w:cs="Arial"/>
          <w:b/>
          <w:szCs w:val="20"/>
        </w:rPr>
      </w:pPr>
      <w:r w:rsidRPr="009D0A2B">
        <w:rPr>
          <w:rFonts w:cs="Arial"/>
          <w:b/>
          <w:szCs w:val="20"/>
        </w:rPr>
        <w:t>Vegetated Swales</w:t>
      </w:r>
    </w:p>
    <w:p w:rsidR="00A402C7" w:rsidRPr="009D0A2B" w:rsidRDefault="00A402C7" w:rsidP="009D0A2B">
      <w:pPr>
        <w:spacing w:line="276" w:lineRule="auto"/>
        <w:rPr>
          <w:rFonts w:cs="Arial"/>
          <w:b/>
          <w:szCs w:val="20"/>
        </w:rPr>
      </w:pPr>
    </w:p>
    <w:p w:rsidR="00A402C7" w:rsidRPr="009D0A2B" w:rsidRDefault="00A402C7" w:rsidP="009D0A2B">
      <w:pPr>
        <w:autoSpaceDE w:val="0"/>
        <w:autoSpaceDN w:val="0"/>
        <w:adjustRightInd w:val="0"/>
        <w:spacing w:line="276" w:lineRule="auto"/>
        <w:rPr>
          <w:rFonts w:cs="Arial"/>
          <w:szCs w:val="20"/>
        </w:rPr>
      </w:pPr>
      <w:r w:rsidRPr="009D0A2B">
        <w:rPr>
          <w:rFonts w:cs="Arial"/>
          <w:szCs w:val="20"/>
        </w:rPr>
        <w:t>Vegetated swales, including the design variations of grassed channels, dry swales, wet swales, biofilters, and bioswales, are turf-lined open drainage channels designed to slow runoff, promote the infiltration of stormwater into the soil media, and reduce pollutant loads in the process of conveying runoff.</w:t>
      </w:r>
      <w:r w:rsidRPr="009D0A2B">
        <w:rPr>
          <w:rStyle w:val="EndnoteReference"/>
          <w:rFonts w:cs="Arial"/>
          <w:szCs w:val="20"/>
        </w:rPr>
        <w:endnoteReference w:id="45"/>
      </w:r>
    </w:p>
    <w:p w:rsidR="00A402C7" w:rsidRPr="009D0A2B" w:rsidRDefault="00A402C7" w:rsidP="009D0A2B">
      <w:pPr>
        <w:pStyle w:val="AppendixDHeading"/>
        <w:spacing w:line="276" w:lineRule="auto"/>
        <w:rPr>
          <w:rFonts w:ascii="Arial" w:hAnsi="Arial" w:cs="Arial"/>
          <w:sz w:val="20"/>
          <w:szCs w:val="20"/>
        </w:rPr>
      </w:pPr>
      <w:r w:rsidRPr="009D0A2B">
        <w:rPr>
          <w:rFonts w:ascii="Arial" w:hAnsi="Arial" w:cs="Arial"/>
          <w:sz w:val="20"/>
          <w:szCs w:val="20"/>
        </w:rPr>
        <w:t>Construction</w:t>
      </w:r>
    </w:p>
    <w:p w:rsidR="00A402C7" w:rsidRPr="009D0A2B" w:rsidRDefault="00726551" w:rsidP="009D0A2B">
      <w:pPr>
        <w:autoSpaceDE w:val="0"/>
        <w:autoSpaceDN w:val="0"/>
        <w:adjustRightInd w:val="0"/>
        <w:spacing w:line="276" w:lineRule="auto"/>
        <w:rPr>
          <w:rFonts w:cs="Arial"/>
          <w:szCs w:val="20"/>
        </w:rPr>
      </w:pPr>
      <w:r>
        <w:rPr>
          <w:rFonts w:cs="Arial"/>
          <w:noProof/>
          <w:szCs w:val="20"/>
        </w:rPr>
        <w:drawing>
          <wp:anchor distT="0" distB="0" distL="114300" distR="114300" simplePos="0" relativeHeight="251660800" behindDoc="1" locked="0" layoutInCell="1" allowOverlap="1">
            <wp:simplePos x="0" y="0"/>
            <wp:positionH relativeFrom="margin">
              <wp:posOffset>3255645</wp:posOffset>
            </wp:positionH>
            <wp:positionV relativeFrom="margin">
              <wp:posOffset>2762250</wp:posOffset>
            </wp:positionV>
            <wp:extent cx="2657475" cy="1981200"/>
            <wp:effectExtent l="19050" t="0" r="9525" b="0"/>
            <wp:wrapTight wrapText="bothSides">
              <wp:wrapPolygon edited="0">
                <wp:start x="-155" y="0"/>
                <wp:lineTo x="-155" y="21392"/>
                <wp:lineTo x="21677" y="21392"/>
                <wp:lineTo x="21677" y="0"/>
                <wp:lineTo x="-155" y="0"/>
              </wp:wrapPolygon>
            </wp:wrapTight>
            <wp:docPr id="332" name="Picture 1" descr="http://www.civil.umd.edu/~apdavis/MDE%20swale%20with%20arrow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vil.umd.edu/~apdavis/MDE%20swale%20with%20arrows-r.jpg"/>
                    <pic:cNvPicPr>
                      <a:picLocks noChangeAspect="1" noChangeArrowheads="1"/>
                    </pic:cNvPicPr>
                  </pic:nvPicPr>
                  <pic:blipFill>
                    <a:blip r:embed="rId142"/>
                    <a:srcRect/>
                    <a:stretch>
                      <a:fillRect/>
                    </a:stretch>
                  </pic:blipFill>
                  <pic:spPr bwMode="auto">
                    <a:xfrm>
                      <a:off x="0" y="0"/>
                      <a:ext cx="2657475" cy="1981200"/>
                    </a:xfrm>
                    <a:prstGeom prst="rect">
                      <a:avLst/>
                    </a:prstGeom>
                    <a:noFill/>
                    <a:ln w="9525">
                      <a:noFill/>
                      <a:miter lim="800000"/>
                      <a:headEnd/>
                      <a:tailEnd/>
                    </a:ln>
                  </pic:spPr>
                </pic:pic>
              </a:graphicData>
            </a:graphic>
          </wp:anchor>
        </w:drawing>
      </w:r>
      <w:r w:rsidR="00A402C7" w:rsidRPr="009D0A2B">
        <w:rPr>
          <w:rFonts w:cs="Arial"/>
          <w:szCs w:val="20"/>
        </w:rPr>
        <w:t>Swales are constructed as broad, shallow, trapezoidal or parabolic, channels and are often heavily vegetated with close growing, water-resistant, high pollutant removal plants.</w:t>
      </w:r>
      <w:r w:rsidR="00A402C7" w:rsidRPr="009D0A2B">
        <w:rPr>
          <w:rStyle w:val="EndnoteReference"/>
          <w:rFonts w:cs="Arial"/>
          <w:szCs w:val="20"/>
        </w:rPr>
        <w:endnoteReference w:id="46"/>
      </w:r>
      <w:r w:rsidR="00A402C7" w:rsidRPr="009D0A2B">
        <w:rPr>
          <w:rFonts w:cs="Arial"/>
          <w:szCs w:val="20"/>
        </w:rPr>
        <w:t xml:space="preserve"> Longitudinal slopes should be as low as possible, and never more than 4 percent. A small forebay should be used at the front of the swale to trap incoming sediments.</w:t>
      </w:r>
      <w:r w:rsidR="00A402C7" w:rsidRPr="009D0A2B">
        <w:rPr>
          <w:rStyle w:val="EndnoteReference"/>
          <w:rFonts w:cs="Arial"/>
          <w:szCs w:val="20"/>
        </w:rPr>
        <w:endnoteReference w:id="47"/>
      </w:r>
      <w:r w:rsidR="00A402C7" w:rsidRPr="009D0A2B">
        <w:rPr>
          <w:rFonts w:cs="Arial"/>
          <w:szCs w:val="20"/>
        </w:rPr>
        <w:t xml:space="preserve"> Vegetation is typically underlain by at least 24 inches of permeable soil and/or sand</w:t>
      </w:r>
      <w:r w:rsidR="00A402C7" w:rsidRPr="009D0A2B">
        <w:rPr>
          <w:rStyle w:val="EndnoteReference"/>
          <w:rFonts w:cs="Arial"/>
          <w:szCs w:val="20"/>
        </w:rPr>
        <w:endnoteReference w:id="48"/>
      </w:r>
      <w:r w:rsidR="00A402C7" w:rsidRPr="009D0A2B">
        <w:rPr>
          <w:rFonts w:cs="Arial"/>
          <w:szCs w:val="20"/>
        </w:rPr>
        <w:t xml:space="preserve"> to provide significant volume reduction and reduce the stormwater conveyance rate.</w:t>
      </w:r>
      <w:r w:rsidR="00A402C7" w:rsidRPr="009D0A2B">
        <w:rPr>
          <w:rStyle w:val="EndnoteReference"/>
          <w:rFonts w:cs="Arial"/>
          <w:szCs w:val="20"/>
        </w:rPr>
        <w:endnoteReference w:id="49"/>
      </w:r>
      <w:r w:rsidR="00A402C7" w:rsidRPr="009D0A2B">
        <w:rPr>
          <w:rFonts w:cs="Arial"/>
          <w:szCs w:val="20"/>
        </w:rPr>
        <w:t xml:space="preserve"> The permeable soil media should have a minimum infiltration rate of 0.5 inches per hour and contain a high level of organic material to enhance pollutant removal. Swales should be designed to treat runoff from small drainage areas (less than 5 acres), so that the volume of flow does not overwhelm the filtering abilities of the BMP.</w:t>
      </w:r>
      <w:r w:rsidR="00A402C7" w:rsidRPr="009D0A2B">
        <w:rPr>
          <w:rStyle w:val="EndnoteReference"/>
          <w:rFonts w:cs="Arial"/>
          <w:szCs w:val="20"/>
        </w:rPr>
        <w:endnoteReference w:id="50"/>
      </w:r>
    </w:p>
    <w:p w:rsidR="00A402C7" w:rsidRPr="009D0A2B" w:rsidRDefault="00A402C7" w:rsidP="009D0A2B">
      <w:pPr>
        <w:pStyle w:val="AppendixDHeading"/>
        <w:spacing w:line="276" w:lineRule="auto"/>
        <w:rPr>
          <w:rFonts w:ascii="Arial" w:hAnsi="Arial" w:cs="Arial"/>
          <w:sz w:val="20"/>
          <w:szCs w:val="20"/>
        </w:rPr>
      </w:pPr>
      <w:r w:rsidRPr="009D0A2B">
        <w:rPr>
          <w:rFonts w:ascii="Arial" w:hAnsi="Arial" w:cs="Arial"/>
          <w:sz w:val="20"/>
          <w:szCs w:val="20"/>
        </w:rPr>
        <w:t>Benefits</w:t>
      </w:r>
    </w:p>
    <w:p w:rsidR="00A402C7" w:rsidRPr="009D0A2B" w:rsidRDefault="00A402C7" w:rsidP="009D0A2B">
      <w:pPr>
        <w:autoSpaceDE w:val="0"/>
        <w:autoSpaceDN w:val="0"/>
        <w:adjustRightInd w:val="0"/>
        <w:spacing w:line="276" w:lineRule="auto"/>
        <w:rPr>
          <w:rFonts w:cs="Arial"/>
          <w:szCs w:val="20"/>
        </w:rPr>
      </w:pPr>
      <w:r w:rsidRPr="009D0A2B">
        <w:rPr>
          <w:rFonts w:cs="Arial"/>
          <w:szCs w:val="20"/>
        </w:rPr>
        <w:t>Swales slow runoff velocity, filter out stormwater pollutants, reduce runoff temperatures, and under certain conditions, infiltrate runoff into the ground as groundwater.</w:t>
      </w:r>
      <w:r w:rsidRPr="009D0A2B">
        <w:rPr>
          <w:rStyle w:val="EndnoteReference"/>
          <w:rFonts w:cs="Arial"/>
          <w:szCs w:val="20"/>
        </w:rPr>
        <w:endnoteReference w:id="51"/>
      </w:r>
      <w:r w:rsidRPr="009D0A2B">
        <w:rPr>
          <w:rFonts w:cs="Arial"/>
          <w:szCs w:val="20"/>
        </w:rPr>
        <w:t xml:space="preserve"> Since swales may discretely blend in with existing landscape features, they can also provide an aesthetic enhancement, particularly if native vegetation is utilized. </w:t>
      </w:r>
    </w:p>
    <w:p w:rsidR="00A402C7" w:rsidRPr="009D0A2B" w:rsidRDefault="00430DFB" w:rsidP="009D0A2B">
      <w:pPr>
        <w:pStyle w:val="AppendixDHeading"/>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824" behindDoc="1" locked="0" layoutInCell="1" allowOverlap="1">
                <wp:simplePos x="0" y="0"/>
                <wp:positionH relativeFrom="column">
                  <wp:posOffset>3162300</wp:posOffset>
                </wp:positionH>
                <wp:positionV relativeFrom="paragraph">
                  <wp:posOffset>248920</wp:posOffset>
                </wp:positionV>
                <wp:extent cx="2750820" cy="409575"/>
                <wp:effectExtent l="0" t="1270" r="1905" b="0"/>
                <wp:wrapSquare wrapText="bothSides"/>
                <wp:docPr id="20"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9D3" w:rsidRPr="009D0A2B" w:rsidRDefault="00E659D3" w:rsidP="009D0A2B">
                            <w:pPr>
                              <w:jc w:val="center"/>
                              <w:rPr>
                                <w:rFonts w:cs="Arial"/>
                                <w:sz w:val="14"/>
                                <w:szCs w:val="14"/>
                              </w:rPr>
                            </w:pPr>
                            <w:r w:rsidRPr="009D0A2B">
                              <w:rPr>
                                <w:rFonts w:cs="Arial"/>
                                <w:sz w:val="14"/>
                                <w:szCs w:val="14"/>
                              </w:rPr>
                              <w:t xml:space="preserve">Grass Swale constructed in median on MD route 32 near Savage, MD. Courtesy of: </w:t>
                            </w:r>
                            <w:r w:rsidRPr="009D0A2B">
                              <w:rPr>
                                <w:rFonts w:cs="Arial"/>
                                <w:i/>
                                <w:sz w:val="14"/>
                                <w:szCs w:val="14"/>
                              </w:rPr>
                              <w:t>James Stagge &amp; Allen P. Davis, University of Maryland</w:t>
                            </w:r>
                            <w:r w:rsidRPr="009D0A2B">
                              <w:rPr>
                                <w:rFonts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94" type="#_x0000_t202" style="position:absolute;margin-left:249pt;margin-top:19.6pt;width:216.6pt;height:3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PQhwIAABo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" stroked="f">
                <v:textbox>
                  <w:txbxContent>
                    <w:p w:rsidR="00E659D3" w:rsidRPr="009D0A2B" w:rsidRDefault="00E659D3" w:rsidP="009D0A2B">
                      <w:pPr>
                        <w:jc w:val="center"/>
                        <w:rPr>
                          <w:rFonts w:cs="Arial"/>
                          <w:sz w:val="14"/>
                          <w:szCs w:val="14"/>
                        </w:rPr>
                      </w:pPr>
                      <w:r w:rsidRPr="009D0A2B">
                        <w:rPr>
                          <w:rFonts w:cs="Arial"/>
                          <w:sz w:val="14"/>
                          <w:szCs w:val="14"/>
                        </w:rPr>
                        <w:t xml:space="preserve">Grass Swale constructed in median on MD route 32 near Savage, MD. Courtesy of: </w:t>
                      </w:r>
                      <w:r w:rsidRPr="009D0A2B">
                        <w:rPr>
                          <w:rFonts w:cs="Arial"/>
                          <w:i/>
                          <w:sz w:val="14"/>
                          <w:szCs w:val="14"/>
                        </w:rPr>
                        <w:t>James Stagge &amp; Allen P. Davis, University of Maryland</w:t>
                      </w:r>
                      <w:r w:rsidRPr="009D0A2B">
                        <w:rPr>
                          <w:rFonts w:cs="Arial"/>
                          <w:sz w:val="14"/>
                          <w:szCs w:val="14"/>
                        </w:rPr>
                        <w:t>.</w:t>
                      </w:r>
                    </w:p>
                  </w:txbxContent>
                </v:textbox>
                <w10:wrap type="square"/>
              </v:shape>
            </w:pict>
          </mc:Fallback>
        </mc:AlternateContent>
      </w:r>
      <w:r w:rsidR="00A402C7" w:rsidRPr="009D0A2B">
        <w:rPr>
          <w:rFonts w:ascii="Arial" w:hAnsi="Arial" w:cs="Arial"/>
          <w:sz w:val="20"/>
          <w:szCs w:val="20"/>
        </w:rPr>
        <w:t>Limitations</w:t>
      </w:r>
    </w:p>
    <w:p w:rsidR="00A402C7" w:rsidRPr="009D0A2B" w:rsidRDefault="00A402C7" w:rsidP="009D0A2B">
      <w:pPr>
        <w:spacing w:line="276" w:lineRule="auto"/>
        <w:rPr>
          <w:rFonts w:cs="Arial"/>
          <w:szCs w:val="20"/>
        </w:rPr>
      </w:pPr>
      <w:r w:rsidRPr="009D0A2B">
        <w:rPr>
          <w:rFonts w:cs="Arial"/>
          <w:szCs w:val="20"/>
        </w:rPr>
        <w:t>A major concern when designing swales is ensuring that excessive stormwater flows, slope, and other factors do not combine to produce erosive flows that may exceed the capacity of the swale. See above for construction specifications to ensure the most effective use of swales. Swales generally cannot treat drainage acres over 5 acres.</w:t>
      </w:r>
      <w:r w:rsidRPr="009D0A2B">
        <w:rPr>
          <w:rStyle w:val="EndnoteReference"/>
          <w:rFonts w:cs="Arial"/>
          <w:szCs w:val="20"/>
        </w:rPr>
        <w:endnoteReference w:id="52"/>
      </w:r>
    </w:p>
    <w:p w:rsidR="00A402C7" w:rsidRPr="009D0A2B" w:rsidRDefault="00A402C7" w:rsidP="009D0A2B">
      <w:pPr>
        <w:pStyle w:val="AppendixDHeading"/>
        <w:spacing w:line="276" w:lineRule="auto"/>
        <w:rPr>
          <w:rFonts w:ascii="Arial" w:hAnsi="Arial" w:cs="Arial"/>
          <w:sz w:val="20"/>
          <w:szCs w:val="20"/>
        </w:rPr>
      </w:pPr>
      <w:r w:rsidRPr="009D0A2B">
        <w:rPr>
          <w:rFonts w:ascii="Arial" w:hAnsi="Arial" w:cs="Arial"/>
          <w:sz w:val="20"/>
          <w:szCs w:val="20"/>
        </w:rPr>
        <w:t>Climate Considerations</w:t>
      </w:r>
    </w:p>
    <w:p w:rsidR="00A402C7" w:rsidRPr="009D0A2B" w:rsidRDefault="00A402C7" w:rsidP="009D0A2B">
      <w:pPr>
        <w:autoSpaceDE w:val="0"/>
        <w:autoSpaceDN w:val="0"/>
        <w:adjustRightInd w:val="0"/>
        <w:spacing w:line="276" w:lineRule="auto"/>
        <w:rPr>
          <w:rStyle w:val="apple-style-span"/>
          <w:rFonts w:cs="Arial"/>
          <w:color w:val="000000"/>
          <w:szCs w:val="20"/>
        </w:rPr>
      </w:pPr>
      <w:r w:rsidRPr="009D0A2B">
        <w:rPr>
          <w:rStyle w:val="apple-style-span"/>
          <w:rFonts w:cs="Arial"/>
          <w:color w:val="000000"/>
          <w:szCs w:val="20"/>
        </w:rPr>
        <w:t>Swales can be applied in most regions of the United States. In arid and semi-arid climates, however, the value of installing and maintaining swales should be weighed against the needed to irrigate them.</w:t>
      </w:r>
      <w:r w:rsidRPr="009D0A2B">
        <w:rPr>
          <w:rStyle w:val="EndnoteReference"/>
          <w:rFonts w:cs="Arial"/>
          <w:color w:val="000000"/>
          <w:szCs w:val="20"/>
        </w:rPr>
        <w:endnoteReference w:id="53"/>
      </w:r>
      <w:r w:rsidRPr="009D0A2B">
        <w:rPr>
          <w:rStyle w:val="apple-style-span"/>
          <w:rFonts w:cs="Arial"/>
          <w:color w:val="000000"/>
          <w:szCs w:val="20"/>
        </w:rPr>
        <w:t xml:space="preserve"> If swales are to be implemented in arid or semi-arid climates, swales should be designed with drought-tolerant vegetation, such as buffalo grass.</w:t>
      </w:r>
    </w:p>
    <w:p w:rsidR="00A402C7" w:rsidRPr="009D0A2B" w:rsidRDefault="00A402C7" w:rsidP="009D0A2B">
      <w:pPr>
        <w:pStyle w:val="AppendixDHeading"/>
        <w:spacing w:line="276" w:lineRule="auto"/>
        <w:rPr>
          <w:rFonts w:ascii="Arial" w:hAnsi="Arial" w:cs="Arial"/>
          <w:sz w:val="20"/>
          <w:szCs w:val="20"/>
        </w:rPr>
      </w:pPr>
      <w:r w:rsidRPr="009D0A2B">
        <w:rPr>
          <w:rFonts w:ascii="Arial" w:hAnsi="Arial" w:cs="Arial"/>
          <w:sz w:val="20"/>
          <w:szCs w:val="20"/>
        </w:rPr>
        <w:t>CSO Impact</w:t>
      </w:r>
    </w:p>
    <w:p w:rsidR="00A402C7" w:rsidRPr="009D0A2B" w:rsidRDefault="00A402C7" w:rsidP="009D0A2B">
      <w:pPr>
        <w:spacing w:line="276" w:lineRule="auto"/>
        <w:rPr>
          <w:rFonts w:cs="Arial"/>
          <w:szCs w:val="20"/>
        </w:rPr>
      </w:pPr>
      <w:r w:rsidRPr="009D0A2B">
        <w:rPr>
          <w:rFonts w:cs="Arial"/>
          <w:szCs w:val="20"/>
        </w:rPr>
        <w:t>A study of a recent stormwater management project using bioswales in Portland, OR, estimated that implantation removed 1 million gallons of stormwater annually from the combined sewer system.</w:t>
      </w:r>
      <w:r w:rsidRPr="009D0A2B">
        <w:rPr>
          <w:rStyle w:val="EndnoteReference"/>
          <w:rFonts w:cs="Arial"/>
          <w:szCs w:val="20"/>
        </w:rPr>
        <w:endnoteReference w:id="54"/>
      </w:r>
      <w:r w:rsidRPr="009D0A2B">
        <w:rPr>
          <w:rFonts w:cs="Arial"/>
          <w:szCs w:val="20"/>
        </w:rPr>
        <w:t xml:space="preserve"> Reduction in stormwater flow to the combined sewer system may ultimately decrease the occurrence and severity of CSOs in the surrounding sewershed.</w:t>
      </w:r>
      <w:r w:rsidRPr="009D0A2B">
        <w:rPr>
          <w:rFonts w:cs="Arial"/>
          <w:snapToGrid w:val="0"/>
          <w:color w:val="000000"/>
          <w:w w:val="0"/>
          <w:szCs w:val="20"/>
          <w:u w:color="000000"/>
          <w:bdr w:val="none" w:sz="0" w:space="0" w:color="000000"/>
          <w:shd w:val="clear" w:color="000000" w:fill="000000"/>
        </w:rPr>
        <w:t xml:space="preserve"> </w:t>
      </w:r>
    </w:p>
    <w:p w:rsidR="00A402C7" w:rsidRPr="009D0A2B" w:rsidRDefault="00A402C7" w:rsidP="009D0A2B">
      <w:pPr>
        <w:pStyle w:val="AppendixDHeading"/>
        <w:spacing w:line="276" w:lineRule="auto"/>
        <w:rPr>
          <w:rFonts w:ascii="Arial" w:hAnsi="Arial" w:cs="Arial"/>
          <w:sz w:val="20"/>
          <w:szCs w:val="20"/>
        </w:rPr>
      </w:pPr>
      <w:r w:rsidRPr="009D0A2B">
        <w:rPr>
          <w:rFonts w:ascii="Arial" w:hAnsi="Arial" w:cs="Arial"/>
          <w:sz w:val="20"/>
          <w:szCs w:val="20"/>
        </w:rPr>
        <w:t>Maintenance</w:t>
      </w:r>
    </w:p>
    <w:p w:rsidR="00A402C7" w:rsidRPr="009D0A2B" w:rsidRDefault="00726551" w:rsidP="009D0A2B">
      <w:pPr>
        <w:spacing w:line="276" w:lineRule="auto"/>
        <w:rPr>
          <w:rFonts w:cs="Arial"/>
          <w:b/>
          <w:szCs w:val="20"/>
          <w:highlight w:val="green"/>
        </w:rPr>
      </w:pPr>
      <w:r>
        <w:rPr>
          <w:rFonts w:cs="Arial"/>
          <w:noProof/>
          <w:szCs w:val="20"/>
        </w:rPr>
        <w:drawing>
          <wp:anchor distT="0" distB="0" distL="114300" distR="114300" simplePos="0" relativeHeight="251659776" behindDoc="1" locked="0" layoutInCell="1" allowOverlap="1">
            <wp:simplePos x="0" y="0"/>
            <wp:positionH relativeFrom="margin">
              <wp:posOffset>3438525</wp:posOffset>
            </wp:positionH>
            <wp:positionV relativeFrom="margin">
              <wp:posOffset>717550</wp:posOffset>
            </wp:positionV>
            <wp:extent cx="2505075" cy="1971675"/>
            <wp:effectExtent l="19050" t="0" r="9525" b="0"/>
            <wp:wrapTight wrapText="bothSides">
              <wp:wrapPolygon edited="0">
                <wp:start x="-164" y="0"/>
                <wp:lineTo x="-164" y="21496"/>
                <wp:lineTo x="21682" y="21496"/>
                <wp:lineTo x="21682" y="0"/>
                <wp:lineTo x="-164" y="0"/>
              </wp:wrapPolygon>
            </wp:wrapTight>
            <wp:docPr id="331" name="Picture 1" descr="C:\Users\ryan.fleeman\Documents\LTCP-EZ\Pictures\Grass Swales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an.fleeman\Documents\LTCP-EZ\Pictures\Grass Swales - 2.jpg"/>
                    <pic:cNvPicPr>
                      <a:picLocks noChangeAspect="1" noChangeArrowheads="1"/>
                    </pic:cNvPicPr>
                  </pic:nvPicPr>
                  <pic:blipFill>
                    <a:blip r:embed="rId143"/>
                    <a:srcRect/>
                    <a:stretch>
                      <a:fillRect/>
                    </a:stretch>
                  </pic:blipFill>
                  <pic:spPr bwMode="auto">
                    <a:xfrm>
                      <a:off x="0" y="0"/>
                      <a:ext cx="2505075" cy="1971675"/>
                    </a:xfrm>
                    <a:prstGeom prst="rect">
                      <a:avLst/>
                    </a:prstGeom>
                    <a:noFill/>
                    <a:ln w="9525">
                      <a:noFill/>
                      <a:miter lim="800000"/>
                      <a:headEnd/>
                      <a:tailEnd/>
                    </a:ln>
                  </pic:spPr>
                </pic:pic>
              </a:graphicData>
            </a:graphic>
          </wp:anchor>
        </w:drawing>
      </w:r>
      <w:r w:rsidR="00430DFB">
        <w:rPr>
          <w:rFonts w:cs="Arial"/>
          <w:noProof/>
          <w:szCs w:val="20"/>
        </w:rPr>
        <mc:AlternateContent>
          <mc:Choice Requires="wps">
            <w:drawing>
              <wp:anchor distT="0" distB="0" distL="114300" distR="114300" simplePos="0" relativeHeight="251662848" behindDoc="1" locked="0" layoutInCell="1" allowOverlap="1">
                <wp:simplePos x="0" y="0"/>
                <wp:positionH relativeFrom="margin">
                  <wp:posOffset>3352800</wp:posOffset>
                </wp:positionH>
                <wp:positionV relativeFrom="paragraph">
                  <wp:posOffset>2232025</wp:posOffset>
                </wp:positionV>
                <wp:extent cx="2692400" cy="441960"/>
                <wp:effectExtent l="0" t="3175" r="3175" b="2540"/>
                <wp:wrapTight wrapText="bothSides">
                  <wp:wrapPolygon edited="0">
                    <wp:start x="-76" y="0"/>
                    <wp:lineTo x="-76" y="21134"/>
                    <wp:lineTo x="21600" y="21134"/>
                    <wp:lineTo x="21600" y="0"/>
                    <wp:lineTo x="-76" y="0"/>
                  </wp:wrapPolygon>
                </wp:wrapTight>
                <wp:docPr id="1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9D3" w:rsidRPr="009D0A2B" w:rsidRDefault="00E659D3" w:rsidP="005F74AA">
                            <w:pPr>
                              <w:jc w:val="center"/>
                              <w:rPr>
                                <w:rFonts w:cs="Arial"/>
                                <w:sz w:val="14"/>
                                <w:szCs w:val="14"/>
                              </w:rPr>
                            </w:pPr>
                            <w:r w:rsidRPr="009D0A2B">
                              <w:rPr>
                                <w:rFonts w:cs="Arial"/>
                                <w:sz w:val="14"/>
                                <w:szCs w:val="14"/>
                              </w:rPr>
                              <w:t xml:space="preserve">Grass Swale constructed in median on MD route 32 near Savage, MD. Courtesy of: </w:t>
                            </w:r>
                            <w:r w:rsidRPr="009D0A2B">
                              <w:rPr>
                                <w:rFonts w:cs="Arial"/>
                                <w:i/>
                                <w:sz w:val="14"/>
                                <w:szCs w:val="14"/>
                              </w:rPr>
                              <w:t>James Stagge &amp; Allen P. Davis, University of Maryland.</w:t>
                            </w:r>
                          </w:p>
                          <w:p w:rsidR="00E659D3" w:rsidRDefault="00E659D3" w:rsidP="005F74A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95" type="#_x0000_t202" style="position:absolute;margin-left:264pt;margin-top:175.75pt;width:212pt;height:34.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" stroked="f">
                <v:textbox>
                  <w:txbxContent>
                    <w:p w:rsidR="00E659D3" w:rsidRPr="009D0A2B" w:rsidRDefault="00E659D3" w:rsidP="005F74AA">
                      <w:pPr>
                        <w:jc w:val="center"/>
                        <w:rPr>
                          <w:rFonts w:cs="Arial"/>
                          <w:sz w:val="14"/>
                          <w:szCs w:val="14"/>
                        </w:rPr>
                      </w:pPr>
                      <w:r w:rsidRPr="009D0A2B">
                        <w:rPr>
                          <w:rFonts w:cs="Arial"/>
                          <w:sz w:val="14"/>
                          <w:szCs w:val="14"/>
                        </w:rPr>
                        <w:t xml:space="preserve">Grass Swale constructed in median on MD route 32 near Savage, MD. Courtesy of: </w:t>
                      </w:r>
                      <w:r w:rsidRPr="009D0A2B">
                        <w:rPr>
                          <w:rFonts w:cs="Arial"/>
                          <w:i/>
                          <w:sz w:val="14"/>
                          <w:szCs w:val="14"/>
                        </w:rPr>
                        <w:t>James Stagge &amp; Allen P. Davis, University of Maryland.</w:t>
                      </w:r>
                    </w:p>
                    <w:p w:rsidR="00E659D3" w:rsidRDefault="00E659D3" w:rsidP="005F74AA">
                      <w:pPr>
                        <w:jc w:val="center"/>
                      </w:pPr>
                    </w:p>
                  </w:txbxContent>
                </v:textbox>
                <w10:wrap type="tight" anchorx="margin"/>
              </v:shape>
            </w:pict>
          </mc:Fallback>
        </mc:AlternateContent>
      </w:r>
      <w:r w:rsidR="00A402C7" w:rsidRPr="009D0A2B">
        <w:rPr>
          <w:rFonts w:cs="Arial"/>
          <w:szCs w:val="20"/>
        </w:rPr>
        <w:t>Compared to other stormwater management measures, the required upkeep of vegetated swales is relatively low. Maintenance strategies focus on sustaining the hydraulic and pollutant removal efficiency of the channel, as well as maintaining a dense vegetative cover. The following maintenance activities are suggested annually, and within 48 hours after every major storm event: inspect and correct erosional problems, damage to vegetation, and sediment and debris accumulation; inspect vegetation on side slope for erosion and formation of gullies; inspect for pools of standing water; mow and trim vegetation to ensure safety, aesthetics and proper operation; inspect for litter and remove litter as appropriate; inspect for uniformity in cross-section and longitudinal slope; inspect inlet and outlet for signs of blockage, correct as needed.</w:t>
      </w:r>
      <w:r w:rsidR="00A402C7" w:rsidRPr="009D0A2B">
        <w:rPr>
          <w:rStyle w:val="EndnoteReference"/>
          <w:rFonts w:cs="Arial"/>
          <w:szCs w:val="20"/>
        </w:rPr>
        <w:endnoteReference w:id="55"/>
      </w:r>
      <w:r w:rsidR="00A402C7" w:rsidRPr="009D0A2B">
        <w:rPr>
          <w:rFonts w:cs="Arial"/>
          <w:szCs w:val="20"/>
        </w:rPr>
        <w:t xml:space="preserve"> Swales should be irrigated if implemented in arid or semi-arid climates.</w:t>
      </w:r>
      <w:r w:rsidR="00A402C7" w:rsidRPr="009D0A2B">
        <w:rPr>
          <w:rStyle w:val="EndnoteReference"/>
          <w:rFonts w:cs="Arial"/>
          <w:color w:val="000000"/>
          <w:szCs w:val="20"/>
        </w:rPr>
        <w:endnoteReference w:id="56"/>
      </w:r>
    </w:p>
    <w:p w:rsidR="00A402C7" w:rsidRPr="009D0A2B" w:rsidRDefault="00A402C7" w:rsidP="009D0A2B">
      <w:pPr>
        <w:pStyle w:val="AppendixDHeading"/>
        <w:spacing w:line="276" w:lineRule="auto"/>
        <w:rPr>
          <w:rFonts w:ascii="Arial" w:hAnsi="Arial" w:cs="Arial"/>
          <w:sz w:val="20"/>
          <w:szCs w:val="20"/>
        </w:rPr>
      </w:pPr>
      <w:r w:rsidRPr="009D0A2B">
        <w:rPr>
          <w:rFonts w:ascii="Arial" w:hAnsi="Arial" w:cs="Arial"/>
          <w:sz w:val="20"/>
          <w:szCs w:val="20"/>
        </w:rPr>
        <w:t>Costs</w:t>
      </w:r>
    </w:p>
    <w:p w:rsidR="00A402C7" w:rsidRPr="00F6188F" w:rsidRDefault="00A402C7" w:rsidP="009D0A2B">
      <w:pPr>
        <w:spacing w:line="276" w:lineRule="auto"/>
        <w:rPr>
          <w:rFonts w:ascii="Times New Roman" w:hAnsi="Times New Roman"/>
          <w:b/>
          <w:sz w:val="24"/>
        </w:rPr>
      </w:pPr>
      <w:r w:rsidRPr="009D0A2B">
        <w:rPr>
          <w:rFonts w:cs="Arial"/>
          <w:szCs w:val="20"/>
        </w:rPr>
        <w:t>The cost of installing and maintaining swales varies widely with design, local labor and material rates, real estate value, and contingencies. In general, swales are considered a relatively low cost control measure</w:t>
      </w:r>
      <w:r w:rsidRPr="009D0A2B">
        <w:rPr>
          <w:rStyle w:val="EndnoteReference"/>
          <w:rFonts w:cs="Arial"/>
          <w:szCs w:val="20"/>
        </w:rPr>
        <w:endnoteReference w:id="57"/>
      </w:r>
      <w:r w:rsidRPr="009D0A2B">
        <w:rPr>
          <w:rFonts w:cs="Arial"/>
          <w:szCs w:val="20"/>
        </w:rPr>
        <w:t xml:space="preserve"> at an implementation cost of approximately $7.66 per square foot of swale (January 2010 dollars).</w:t>
      </w:r>
      <w:r w:rsidRPr="009D0A2B">
        <w:rPr>
          <w:rStyle w:val="EndnoteReference"/>
          <w:rFonts w:cs="Arial"/>
          <w:szCs w:val="20"/>
        </w:rPr>
        <w:endnoteReference w:id="58"/>
      </w:r>
      <w:r w:rsidRPr="009D0A2B">
        <w:rPr>
          <w:rFonts w:cs="Arial"/>
          <w:szCs w:val="20"/>
        </w:rPr>
        <w:t xml:space="preserve"> Annual operation and maintenance costs range from 5 to 7 percent of construction costs, or $0.54 per square foot based on a construction cost of $7.66 per square foot.</w:t>
      </w:r>
      <w:r w:rsidRPr="009D0A2B">
        <w:rPr>
          <w:rStyle w:val="EndnoteReference"/>
          <w:rFonts w:cs="Arial"/>
          <w:szCs w:val="20"/>
        </w:rPr>
        <w:endnoteReference w:id="59"/>
      </w:r>
    </w:p>
    <w:p w:rsidR="00A402C7" w:rsidRDefault="00A402C7" w:rsidP="005F74AA">
      <w:pPr>
        <w:rPr>
          <w:rFonts w:ascii="Times New Roman" w:hAnsi="Times New Roman"/>
          <w:sz w:val="24"/>
        </w:rPr>
      </w:pPr>
    </w:p>
    <w:p w:rsidR="00A402C7" w:rsidRDefault="00A402C7" w:rsidP="005F74AA">
      <w:pPr>
        <w:rPr>
          <w:rFonts w:ascii="Times New Roman" w:hAnsi="Times New Roman"/>
          <w:sz w:val="24"/>
        </w:rPr>
        <w:sectPr w:rsidR="00A402C7" w:rsidSect="005F01AD">
          <w:endnotePr>
            <w:numFmt w:val="decimal"/>
            <w:numRestart w:val="eachSect"/>
          </w:endnotePr>
          <w:pgSz w:w="12240" w:h="15840"/>
          <w:pgMar w:top="1440" w:right="1440" w:bottom="1440" w:left="1440" w:header="720" w:footer="720" w:gutter="0"/>
          <w:pgNumType w:chapStyle="9"/>
          <w:cols w:space="720"/>
          <w:docGrid w:linePitch="360"/>
        </w:sectPr>
      </w:pPr>
    </w:p>
    <w:p w:rsidR="00A402C7" w:rsidRPr="009D0A2B" w:rsidRDefault="00A402C7" w:rsidP="009D0A2B">
      <w:pPr>
        <w:pBdr>
          <w:bottom w:val="single" w:sz="6" w:space="1" w:color="auto"/>
        </w:pBdr>
        <w:spacing w:line="276" w:lineRule="auto"/>
        <w:jc w:val="center"/>
        <w:rPr>
          <w:rFonts w:cs="Arial"/>
          <w:b/>
          <w:szCs w:val="20"/>
        </w:rPr>
      </w:pPr>
      <w:r w:rsidRPr="009D0A2B">
        <w:rPr>
          <w:rFonts w:cs="Arial"/>
          <w:b/>
          <w:szCs w:val="20"/>
        </w:rPr>
        <w:t>Porous Pavement and Permeable Pavers</w:t>
      </w:r>
    </w:p>
    <w:p w:rsidR="00A402C7" w:rsidRPr="009D0A2B" w:rsidRDefault="00A402C7" w:rsidP="009D0A2B">
      <w:pPr>
        <w:spacing w:line="276" w:lineRule="auto"/>
        <w:rPr>
          <w:rFonts w:cs="Arial"/>
          <w:b/>
          <w:szCs w:val="20"/>
        </w:rPr>
      </w:pPr>
    </w:p>
    <w:p w:rsidR="00A402C7" w:rsidRPr="009D0A2B" w:rsidRDefault="00A402C7" w:rsidP="009D0A2B">
      <w:pPr>
        <w:spacing w:line="276" w:lineRule="auto"/>
        <w:rPr>
          <w:rFonts w:cs="Arial"/>
          <w:szCs w:val="20"/>
        </w:rPr>
      </w:pPr>
      <w:r w:rsidRPr="009D0A2B">
        <w:rPr>
          <w:rFonts w:cs="Arial"/>
          <w:szCs w:val="20"/>
        </w:rPr>
        <w:t>Permeable pavement is a class of paving materials that allow for the movement of water in and around the paving material. Permeable pavement is designed to infiltrate stormwater runoff through the surface and has two basic design variations: porous pavement and permeable pavers.</w:t>
      </w:r>
      <w:r w:rsidRPr="009D0A2B">
        <w:rPr>
          <w:rStyle w:val="EndnoteReference"/>
          <w:rFonts w:cs="Arial"/>
          <w:szCs w:val="20"/>
        </w:rPr>
        <w:endnoteReference w:id="60"/>
      </w:r>
    </w:p>
    <w:p w:rsidR="00A402C7" w:rsidRPr="009D0A2B" w:rsidRDefault="00A402C7" w:rsidP="009D0A2B">
      <w:pPr>
        <w:pStyle w:val="AppendixDHeading"/>
        <w:spacing w:line="276" w:lineRule="auto"/>
        <w:rPr>
          <w:rFonts w:ascii="Arial" w:hAnsi="Arial" w:cs="Arial"/>
          <w:sz w:val="20"/>
          <w:szCs w:val="20"/>
        </w:rPr>
      </w:pPr>
      <w:r w:rsidRPr="009D0A2B">
        <w:rPr>
          <w:rFonts w:ascii="Arial" w:hAnsi="Arial" w:cs="Arial"/>
          <w:sz w:val="20"/>
          <w:szCs w:val="20"/>
        </w:rPr>
        <w:t>Construction</w:t>
      </w:r>
    </w:p>
    <w:p w:rsidR="00A402C7" w:rsidRPr="009D0A2B" w:rsidRDefault="00726551" w:rsidP="009D0A2B">
      <w:pPr>
        <w:spacing w:line="276" w:lineRule="auto"/>
        <w:rPr>
          <w:rFonts w:cs="Arial"/>
          <w:szCs w:val="20"/>
        </w:rPr>
      </w:pPr>
      <w:r>
        <w:rPr>
          <w:rFonts w:cs="Arial"/>
          <w:noProof/>
          <w:szCs w:val="20"/>
        </w:rPr>
        <w:drawing>
          <wp:anchor distT="0" distB="0" distL="114300" distR="182880" simplePos="0" relativeHeight="251665920" behindDoc="1" locked="0" layoutInCell="1" allowOverlap="1">
            <wp:simplePos x="0" y="0"/>
            <wp:positionH relativeFrom="margin">
              <wp:posOffset>0</wp:posOffset>
            </wp:positionH>
            <wp:positionV relativeFrom="margin">
              <wp:posOffset>1947545</wp:posOffset>
            </wp:positionV>
            <wp:extent cx="2484120" cy="2258060"/>
            <wp:effectExtent l="19050" t="0" r="0" b="0"/>
            <wp:wrapTight wrapText="bothSides">
              <wp:wrapPolygon edited="0">
                <wp:start x="-166" y="0"/>
                <wp:lineTo x="-166" y="21503"/>
                <wp:lineTo x="21534" y="21503"/>
                <wp:lineTo x="21534" y="0"/>
                <wp:lineTo x="-166" y="0"/>
              </wp:wrapPolygon>
            </wp:wrapTight>
            <wp:docPr id="330" name="Picture 1" descr="http://www.casfm.org/stormwater_committee/images/DSC0000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sfm.org/stormwater_committee/images/DSC00008_1.gif"/>
                    <pic:cNvPicPr>
                      <a:picLocks noChangeAspect="1" noChangeArrowheads="1"/>
                    </pic:cNvPicPr>
                  </pic:nvPicPr>
                  <pic:blipFill>
                    <a:blip r:embed="rId144"/>
                    <a:srcRect/>
                    <a:stretch>
                      <a:fillRect/>
                    </a:stretch>
                  </pic:blipFill>
                  <pic:spPr bwMode="auto">
                    <a:xfrm>
                      <a:off x="0" y="0"/>
                      <a:ext cx="2484120" cy="2258060"/>
                    </a:xfrm>
                    <a:prstGeom prst="rect">
                      <a:avLst/>
                    </a:prstGeom>
                    <a:noFill/>
                    <a:ln w="9525">
                      <a:noFill/>
                      <a:miter lim="800000"/>
                      <a:headEnd/>
                      <a:tailEnd/>
                    </a:ln>
                  </pic:spPr>
                </pic:pic>
              </a:graphicData>
            </a:graphic>
          </wp:anchor>
        </w:drawing>
      </w:r>
      <w:r w:rsidR="00A402C7" w:rsidRPr="009D0A2B">
        <w:rPr>
          <w:rFonts w:cs="Arial"/>
          <w:szCs w:val="20"/>
        </w:rPr>
        <w:t>Porous pavement, similar in look to conventionally paved surfaces, is constructed from a permeable surface, generally concrete or asphalt, and has three main design components: surface, storage, and overflow.</w:t>
      </w:r>
      <w:r w:rsidR="00A402C7" w:rsidRPr="009D0A2B">
        <w:rPr>
          <w:rStyle w:val="EndnoteReference"/>
          <w:rFonts w:cs="Arial"/>
          <w:szCs w:val="20"/>
        </w:rPr>
        <w:endnoteReference w:id="61"/>
      </w:r>
      <w:r w:rsidR="00A402C7" w:rsidRPr="009D0A2B">
        <w:rPr>
          <w:rFonts w:cs="Arial"/>
          <w:szCs w:val="20"/>
        </w:rPr>
        <w:t xml:space="preserve"> Porous pavement is underlain by a choke course, open-graded base reservoir, open-graded subbase reservoir, optional underdrain, optional geotextile liner, and subgrade. An underdrain provides peak flow control so that water levels do not rise to the pavement level during large storm events.</w:t>
      </w:r>
      <w:r w:rsidR="00A402C7" w:rsidRPr="009D0A2B">
        <w:rPr>
          <w:rStyle w:val="EndnoteReference"/>
          <w:rFonts w:cs="Arial"/>
          <w:szCs w:val="20"/>
        </w:rPr>
        <w:endnoteReference w:id="62"/>
      </w:r>
      <w:r w:rsidR="00A402C7" w:rsidRPr="009D0A2B">
        <w:rPr>
          <w:rFonts w:cs="Arial"/>
          <w:szCs w:val="20"/>
        </w:rPr>
        <w:t xml:space="preserve"> A geotextile layer may be used to separate the subbase from the subgrade and prevent the migration of soils into the aggregate subbase or base.</w:t>
      </w:r>
      <w:r w:rsidR="00A402C7" w:rsidRPr="009D0A2B">
        <w:rPr>
          <w:rStyle w:val="EndnoteReference"/>
          <w:rFonts w:cs="Arial"/>
          <w:szCs w:val="20"/>
        </w:rPr>
        <w:endnoteReference w:id="63"/>
      </w:r>
      <w:r w:rsidR="00A402C7" w:rsidRPr="009D0A2B">
        <w:rPr>
          <w:rFonts w:cs="Arial"/>
          <w:szCs w:val="20"/>
        </w:rPr>
        <w:t xml:space="preserve"> As stormwater drains through the surface, it is temporarily held in the voids of the paving medium, and then slowly drains into the underlying, uncompacted soil.</w:t>
      </w:r>
      <w:r w:rsidR="00A402C7" w:rsidRPr="009D0A2B">
        <w:rPr>
          <w:rStyle w:val="EndnoteReference"/>
          <w:rFonts w:cs="Arial"/>
          <w:szCs w:val="20"/>
        </w:rPr>
        <w:endnoteReference w:id="64"/>
      </w:r>
      <w:r w:rsidR="00A402C7" w:rsidRPr="009D0A2B">
        <w:rPr>
          <w:rFonts w:cs="Arial"/>
          <w:snapToGrid w:val="0"/>
          <w:color w:val="000000"/>
          <w:w w:val="0"/>
          <w:szCs w:val="20"/>
          <w:u w:color="000000"/>
          <w:bdr w:val="none" w:sz="0" w:space="0" w:color="000000"/>
          <w:shd w:val="clear" w:color="000000" w:fill="000000"/>
        </w:rPr>
        <w:t xml:space="preserve"> </w:t>
      </w:r>
    </w:p>
    <w:p w:rsidR="00A52446" w:rsidRPr="009D0A2B" w:rsidRDefault="00A52446" w:rsidP="009D0A2B">
      <w:pPr>
        <w:spacing w:line="276" w:lineRule="auto"/>
        <w:rPr>
          <w:rFonts w:cs="Arial"/>
          <w:szCs w:val="20"/>
        </w:rPr>
      </w:pPr>
    </w:p>
    <w:p w:rsidR="00A402C7" w:rsidRPr="009D0A2B" w:rsidRDefault="00430DFB" w:rsidP="009D0A2B">
      <w:pPr>
        <w:spacing w:line="276" w:lineRule="auto"/>
        <w:rPr>
          <w:rFonts w:cs="Arial"/>
          <w:szCs w:val="20"/>
        </w:rPr>
      </w:pPr>
      <w:r>
        <w:rPr>
          <w:rFonts w:cs="Arial"/>
          <w:noProof/>
          <w:szCs w:val="20"/>
        </w:rPr>
        <mc:AlternateContent>
          <mc:Choice Requires="wps">
            <w:drawing>
              <wp:anchor distT="0" distB="0" distL="114300" distR="114300" simplePos="0" relativeHeight="251666944" behindDoc="0" locked="0" layoutInCell="1" allowOverlap="1">
                <wp:simplePos x="0" y="0"/>
                <wp:positionH relativeFrom="column">
                  <wp:posOffset>-2754630</wp:posOffset>
                </wp:positionH>
                <wp:positionV relativeFrom="paragraph">
                  <wp:posOffset>406400</wp:posOffset>
                </wp:positionV>
                <wp:extent cx="2640330" cy="368300"/>
                <wp:effectExtent l="0" t="0" r="0" b="0"/>
                <wp:wrapSquare wrapText="bothSides"/>
                <wp:docPr id="1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9D3" w:rsidRPr="009D0A2B" w:rsidRDefault="00E659D3" w:rsidP="009D0A2B">
                            <w:pPr>
                              <w:jc w:val="center"/>
                              <w:rPr>
                                <w:rFonts w:cs="Arial"/>
                                <w:i/>
                                <w:sz w:val="14"/>
                                <w:szCs w:val="14"/>
                              </w:rPr>
                            </w:pPr>
                            <w:r w:rsidRPr="009D0A2B">
                              <w:rPr>
                                <w:rFonts w:cs="Arial"/>
                                <w:sz w:val="14"/>
                                <w:szCs w:val="14"/>
                              </w:rPr>
                              <w:t xml:space="preserve">Porous pavement close-up, Aurora, CO.  Courtesy of: </w:t>
                            </w:r>
                            <w:r w:rsidRPr="009D0A2B">
                              <w:rPr>
                                <w:rFonts w:cs="Arial"/>
                                <w:i/>
                                <w:sz w:val="14"/>
                                <w:szCs w:val="14"/>
                              </w:rPr>
                              <w:t>The Colorado Association of Stormwater and Floodplain Managers (CASFM).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96" type="#_x0000_t202" style="position:absolute;margin-left:-216.9pt;margin-top:32pt;width:207.9pt;height: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" stroked="f">
                <v:textbox inset=",0,,0">
                  <w:txbxContent>
                    <w:p w:rsidR="00E659D3" w:rsidRPr="009D0A2B" w:rsidRDefault="00E659D3" w:rsidP="009D0A2B">
                      <w:pPr>
                        <w:jc w:val="center"/>
                        <w:rPr>
                          <w:rFonts w:cs="Arial"/>
                          <w:i/>
                          <w:sz w:val="14"/>
                          <w:szCs w:val="14"/>
                        </w:rPr>
                      </w:pPr>
                      <w:r w:rsidRPr="009D0A2B">
                        <w:rPr>
                          <w:rFonts w:cs="Arial"/>
                          <w:sz w:val="14"/>
                          <w:szCs w:val="14"/>
                        </w:rPr>
                        <w:t xml:space="preserve">Porous pavement close-up, Aurora, CO.  Courtesy of: </w:t>
                      </w:r>
                      <w:r w:rsidRPr="009D0A2B">
                        <w:rPr>
                          <w:rFonts w:cs="Arial"/>
                          <w:i/>
                          <w:sz w:val="14"/>
                          <w:szCs w:val="14"/>
                        </w:rPr>
                        <w:t>The Colorado Association of Stormwater and Floodplain Managers (CASFM).</w:t>
                      </w:r>
                    </w:p>
                  </w:txbxContent>
                </v:textbox>
                <w10:wrap type="square"/>
              </v:shape>
            </w:pict>
          </mc:Fallback>
        </mc:AlternateContent>
      </w:r>
      <w:r w:rsidR="00A402C7" w:rsidRPr="009D0A2B">
        <w:rPr>
          <w:rFonts w:cs="Arial"/>
          <w:szCs w:val="20"/>
        </w:rPr>
        <w:t>Permeable pavers, including reinforced turf, interlocking concrete modules, and brick pavers, do not require the same level of design intensity when compared to porous pavement. Permeable pavers are generally not as extensive in depth, and generally have no underground stone reservoir.</w:t>
      </w:r>
      <w:r w:rsidR="00A402C7" w:rsidRPr="009D0A2B">
        <w:rPr>
          <w:rStyle w:val="EndnoteReference"/>
          <w:rFonts w:cs="Arial"/>
          <w:szCs w:val="20"/>
        </w:rPr>
        <w:endnoteReference w:id="65"/>
      </w:r>
      <w:r w:rsidR="00A402C7" w:rsidRPr="009D0A2B">
        <w:rPr>
          <w:rFonts w:cs="Arial"/>
          <w:szCs w:val="20"/>
        </w:rPr>
        <w:t xml:space="preserve"> However, these systems may provide some level of infiltration through the permeable surface to the ground and may be an important source of erosion control.</w:t>
      </w:r>
    </w:p>
    <w:p w:rsidR="00A402C7" w:rsidRPr="009D0A2B" w:rsidRDefault="00A402C7" w:rsidP="009D0A2B">
      <w:pPr>
        <w:pStyle w:val="AppendixDHeading"/>
        <w:spacing w:line="276" w:lineRule="auto"/>
        <w:rPr>
          <w:rFonts w:ascii="Arial" w:hAnsi="Arial" w:cs="Arial"/>
          <w:sz w:val="20"/>
          <w:szCs w:val="20"/>
        </w:rPr>
      </w:pPr>
      <w:r w:rsidRPr="009D0A2B">
        <w:rPr>
          <w:rFonts w:ascii="Arial" w:hAnsi="Arial" w:cs="Arial"/>
          <w:sz w:val="20"/>
          <w:szCs w:val="20"/>
        </w:rPr>
        <w:t>Benefits</w:t>
      </w:r>
    </w:p>
    <w:p w:rsidR="00A402C7" w:rsidRPr="009D0A2B" w:rsidRDefault="00A402C7" w:rsidP="009D0A2B">
      <w:pPr>
        <w:spacing w:line="276" w:lineRule="auto"/>
        <w:rPr>
          <w:rFonts w:cs="Arial"/>
          <w:szCs w:val="20"/>
        </w:rPr>
      </w:pPr>
      <w:r w:rsidRPr="009D0A2B">
        <w:rPr>
          <w:rFonts w:cs="Arial"/>
          <w:szCs w:val="20"/>
        </w:rPr>
        <w:t>Porous pavement can dramatically reduce the rate and volume of runoff by providing temporary stormwater storage, can recharge the groundwater, promote infiltration, and improve water quality. Porous pavement has gained acceptance as a construction material for low traffic roads, parking lots, sidewalks, among others.</w:t>
      </w:r>
      <w:r w:rsidRPr="009D0A2B">
        <w:rPr>
          <w:rStyle w:val="EndnoteReference"/>
          <w:rFonts w:cs="Arial"/>
          <w:szCs w:val="20"/>
        </w:rPr>
        <w:endnoteReference w:id="66"/>
      </w:r>
      <w:r w:rsidRPr="009D0A2B">
        <w:rPr>
          <w:rFonts w:cs="Arial"/>
          <w:szCs w:val="20"/>
        </w:rPr>
        <w:t xml:space="preserve"> Permeable pavers are gaining acceptance for use in single-family residential driveways, sidewalks, plazas, and courtyard areas.</w:t>
      </w:r>
      <w:r w:rsidRPr="009D0A2B">
        <w:rPr>
          <w:rStyle w:val="EndnoteReference"/>
          <w:rFonts w:cs="Arial"/>
          <w:szCs w:val="20"/>
        </w:rPr>
        <w:endnoteReference w:id="67"/>
      </w:r>
      <w:r w:rsidRPr="009D0A2B">
        <w:rPr>
          <w:rFonts w:cs="Arial"/>
          <w:szCs w:val="20"/>
        </w:rPr>
        <w:t xml:space="preserve"> Permeable pavers may also provide aesthetic improvements in addition to the aforementioned stormwater management benefits.</w:t>
      </w:r>
    </w:p>
    <w:p w:rsidR="00A402C7" w:rsidRPr="009D0A2B" w:rsidRDefault="00A402C7" w:rsidP="009D0A2B">
      <w:pPr>
        <w:pStyle w:val="AppendixDHeading"/>
        <w:spacing w:line="276" w:lineRule="auto"/>
        <w:rPr>
          <w:rFonts w:ascii="Arial" w:hAnsi="Arial" w:cs="Arial"/>
          <w:sz w:val="20"/>
          <w:szCs w:val="20"/>
        </w:rPr>
      </w:pPr>
      <w:r w:rsidRPr="009D0A2B">
        <w:rPr>
          <w:rFonts w:ascii="Arial" w:hAnsi="Arial" w:cs="Arial"/>
          <w:sz w:val="20"/>
          <w:szCs w:val="20"/>
        </w:rPr>
        <w:t>Limitations</w:t>
      </w:r>
    </w:p>
    <w:p w:rsidR="00A402C7" w:rsidRPr="009D0A2B" w:rsidRDefault="00A402C7" w:rsidP="009D0A2B">
      <w:pPr>
        <w:spacing w:line="276" w:lineRule="auto"/>
        <w:rPr>
          <w:rFonts w:cs="Arial"/>
          <w:szCs w:val="20"/>
        </w:rPr>
      </w:pPr>
      <w:r w:rsidRPr="009D0A2B">
        <w:rPr>
          <w:rFonts w:cs="Arial"/>
          <w:szCs w:val="20"/>
        </w:rPr>
        <w:t>The most significant limitation to use of porous pavement is the higher costs associated with installation as well as operation and maintenance cost</w:t>
      </w:r>
      <w:r w:rsidRPr="009D0A2B">
        <w:rPr>
          <w:rStyle w:val="EndnoteReference"/>
          <w:rFonts w:cs="Arial"/>
          <w:szCs w:val="20"/>
        </w:rPr>
        <w:endnoteReference w:id="68"/>
      </w:r>
      <w:r w:rsidRPr="009D0A2B">
        <w:rPr>
          <w:rFonts w:cs="Arial"/>
          <w:szCs w:val="20"/>
        </w:rPr>
        <w:t>, relative to standard paving practices. A recent survey of 300 Brooklyn property owners found that approximately 79 percent of respondents would be willing to install porous pavement if cost neutral to other “gray” practices.</w:t>
      </w:r>
      <w:r w:rsidRPr="009D0A2B">
        <w:rPr>
          <w:rStyle w:val="EndnoteReference"/>
          <w:rFonts w:cs="Arial"/>
          <w:szCs w:val="20"/>
        </w:rPr>
        <w:endnoteReference w:id="69"/>
      </w:r>
      <w:r w:rsidRPr="009D0A2B">
        <w:rPr>
          <w:rFonts w:cs="Arial"/>
          <w:szCs w:val="20"/>
        </w:rPr>
        <w:t xml:space="preserve"> However, without subsidies, porous pavement in many areas may still be more expensive than traditional asphalt.</w:t>
      </w:r>
      <w:r w:rsidRPr="009D0A2B">
        <w:rPr>
          <w:rStyle w:val="EndnoteReference"/>
          <w:rFonts w:cs="Arial"/>
          <w:szCs w:val="20"/>
        </w:rPr>
        <w:endnoteReference w:id="70"/>
      </w:r>
      <w:r w:rsidRPr="009D0A2B">
        <w:rPr>
          <w:rFonts w:cs="Arial"/>
          <w:szCs w:val="20"/>
        </w:rPr>
        <w:t xml:space="preserve"> Additional limitations may be site specific including unsuitable grade and subsoils, and/or high flow volume sites which may be unsuitable for implementation of this BMP.</w:t>
      </w:r>
    </w:p>
    <w:p w:rsidR="00A402C7" w:rsidRPr="009D0A2B" w:rsidRDefault="00A402C7" w:rsidP="009D0A2B">
      <w:pPr>
        <w:pStyle w:val="AppendixDHeading"/>
        <w:spacing w:line="276" w:lineRule="auto"/>
        <w:rPr>
          <w:rFonts w:ascii="Arial" w:hAnsi="Arial" w:cs="Arial"/>
          <w:sz w:val="20"/>
          <w:szCs w:val="20"/>
        </w:rPr>
      </w:pPr>
      <w:r w:rsidRPr="009D0A2B">
        <w:rPr>
          <w:rFonts w:ascii="Arial" w:hAnsi="Arial" w:cs="Arial"/>
          <w:sz w:val="20"/>
          <w:szCs w:val="20"/>
        </w:rPr>
        <w:t>Climate Considerations</w:t>
      </w:r>
    </w:p>
    <w:p w:rsidR="00A402C7" w:rsidRPr="009D0A2B" w:rsidRDefault="00A402C7" w:rsidP="009D0A2B">
      <w:pPr>
        <w:spacing w:line="276" w:lineRule="auto"/>
        <w:rPr>
          <w:rFonts w:cs="Arial"/>
          <w:szCs w:val="20"/>
        </w:rPr>
      </w:pPr>
      <w:r w:rsidRPr="009D0A2B">
        <w:rPr>
          <w:rFonts w:cs="Arial"/>
          <w:szCs w:val="20"/>
        </w:rPr>
        <w:t>Freeze-thaw cycles tend to not adversely affect porous pavement or permeable pavers because water drains through the surface and into the subsurface bed. In northern climates, porous pavement has less of a tendency to form black ice, require less plowing, and develops fewer cracks than conventional asphalt.</w:t>
      </w:r>
      <w:r w:rsidRPr="009D0A2B">
        <w:rPr>
          <w:rStyle w:val="EndnoteReference"/>
          <w:rFonts w:cs="Arial"/>
          <w:szCs w:val="20"/>
        </w:rPr>
        <w:endnoteReference w:id="71"/>
      </w:r>
      <w:r w:rsidRPr="009D0A2B">
        <w:rPr>
          <w:rFonts w:cs="Arial"/>
          <w:szCs w:val="20"/>
        </w:rPr>
        <w:t xml:space="preserve"> Some regional limitations associated with porous pavement including subsurface soil types, depths, and underlying soil permeability should be examined prior to implementation.</w:t>
      </w:r>
      <w:r w:rsidRPr="009D0A2B">
        <w:rPr>
          <w:rStyle w:val="EndnoteReference"/>
          <w:rFonts w:cs="Arial"/>
          <w:szCs w:val="20"/>
        </w:rPr>
        <w:endnoteReference w:id="72"/>
      </w:r>
    </w:p>
    <w:p w:rsidR="00A402C7" w:rsidRPr="009D0A2B" w:rsidRDefault="00726551" w:rsidP="009D0A2B">
      <w:pPr>
        <w:pStyle w:val="AppendixDHeading"/>
        <w:spacing w:line="276" w:lineRule="auto"/>
        <w:rPr>
          <w:rFonts w:ascii="Arial" w:hAnsi="Arial" w:cs="Arial"/>
          <w:sz w:val="20"/>
          <w:szCs w:val="20"/>
        </w:rPr>
      </w:pPr>
      <w:r>
        <w:rPr>
          <w:rFonts w:ascii="Arial" w:hAnsi="Arial" w:cs="Arial"/>
          <w:noProof/>
          <w:sz w:val="20"/>
          <w:szCs w:val="20"/>
        </w:rPr>
        <w:drawing>
          <wp:anchor distT="0" distB="0" distL="114300" distR="114300" simplePos="0" relativeHeight="251663872" behindDoc="1" locked="0" layoutInCell="1" allowOverlap="1">
            <wp:simplePos x="0" y="0"/>
            <wp:positionH relativeFrom="margin">
              <wp:posOffset>3596640</wp:posOffset>
            </wp:positionH>
            <wp:positionV relativeFrom="margin">
              <wp:posOffset>1132840</wp:posOffset>
            </wp:positionV>
            <wp:extent cx="2362200" cy="1990725"/>
            <wp:effectExtent l="19050" t="0" r="0" b="0"/>
            <wp:wrapTight wrapText="bothSides">
              <wp:wrapPolygon edited="0">
                <wp:start x="-174" y="0"/>
                <wp:lineTo x="-174" y="21497"/>
                <wp:lineTo x="21600" y="21497"/>
                <wp:lineTo x="21600" y="0"/>
                <wp:lineTo x="-174" y="0"/>
              </wp:wrapPolygon>
            </wp:wrapTight>
            <wp:docPr id="329" name="Picture 2" descr="C:\Users\ryan.fleeman\Documents\LTCP-EZ\Pictures\porous pave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an.fleeman\Documents\LTCP-EZ\Pictures\porous pavement-3.jpg"/>
                    <pic:cNvPicPr>
                      <a:picLocks noChangeAspect="1" noChangeArrowheads="1"/>
                    </pic:cNvPicPr>
                  </pic:nvPicPr>
                  <pic:blipFill>
                    <a:blip r:embed="rId145"/>
                    <a:srcRect/>
                    <a:stretch>
                      <a:fillRect/>
                    </a:stretch>
                  </pic:blipFill>
                  <pic:spPr bwMode="auto">
                    <a:xfrm>
                      <a:off x="0" y="0"/>
                      <a:ext cx="2362200" cy="1990725"/>
                    </a:xfrm>
                    <a:prstGeom prst="rect">
                      <a:avLst/>
                    </a:prstGeom>
                    <a:noFill/>
                    <a:ln w="9525">
                      <a:noFill/>
                      <a:miter lim="800000"/>
                      <a:headEnd/>
                      <a:tailEnd/>
                    </a:ln>
                  </pic:spPr>
                </pic:pic>
              </a:graphicData>
            </a:graphic>
          </wp:anchor>
        </w:drawing>
      </w:r>
      <w:r w:rsidR="00A402C7" w:rsidRPr="009D0A2B">
        <w:rPr>
          <w:rFonts w:ascii="Arial" w:hAnsi="Arial" w:cs="Arial"/>
          <w:sz w:val="20"/>
          <w:szCs w:val="20"/>
        </w:rPr>
        <w:t>CSO Impact</w:t>
      </w:r>
    </w:p>
    <w:p w:rsidR="00A402C7" w:rsidRPr="009D0A2B" w:rsidRDefault="00430DFB" w:rsidP="009D0A2B">
      <w:pPr>
        <w:autoSpaceDE w:val="0"/>
        <w:autoSpaceDN w:val="0"/>
        <w:adjustRightInd w:val="0"/>
        <w:spacing w:line="276" w:lineRule="auto"/>
        <w:rPr>
          <w:rFonts w:cs="Arial"/>
          <w:szCs w:val="20"/>
        </w:rPr>
      </w:pPr>
      <w:r>
        <w:rPr>
          <w:rFonts w:cs="Arial"/>
          <w:noProof/>
          <w:szCs w:val="20"/>
        </w:rPr>
        <mc:AlternateContent>
          <mc:Choice Requires="wps">
            <w:drawing>
              <wp:anchor distT="0" distB="0" distL="114300" distR="114300" simplePos="0" relativeHeight="251664896" behindDoc="0" locked="0" layoutInCell="1" allowOverlap="1">
                <wp:simplePos x="0" y="0"/>
                <wp:positionH relativeFrom="column">
                  <wp:posOffset>3509645</wp:posOffset>
                </wp:positionH>
                <wp:positionV relativeFrom="paragraph">
                  <wp:posOffset>1472565</wp:posOffset>
                </wp:positionV>
                <wp:extent cx="2449195" cy="476885"/>
                <wp:effectExtent l="4445" t="0" r="3810" b="3175"/>
                <wp:wrapSquare wrapText="bothSides"/>
                <wp:docPr id="17"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9D3" w:rsidRPr="009D0A2B" w:rsidRDefault="00E659D3" w:rsidP="009D0A2B">
                            <w:pPr>
                              <w:jc w:val="center"/>
                              <w:rPr>
                                <w:rFonts w:cs="Arial"/>
                                <w:i/>
                                <w:sz w:val="14"/>
                                <w:szCs w:val="14"/>
                              </w:rPr>
                            </w:pPr>
                            <w:r w:rsidRPr="009D0A2B">
                              <w:rPr>
                                <w:rFonts w:cs="Arial"/>
                                <w:sz w:val="14"/>
                                <w:szCs w:val="14"/>
                              </w:rPr>
                              <w:t xml:space="preserve">Permeable Pavers at the transit center parking lot in Mound, Minnesota. Courtesy of: </w:t>
                            </w:r>
                            <w:r w:rsidRPr="009D0A2B">
                              <w:rPr>
                                <w:rFonts w:cs="Arial"/>
                                <w:i/>
                                <w:sz w:val="14"/>
                                <w:szCs w:val="14"/>
                              </w:rPr>
                              <w:t>Julie Westerlund, MN DNR.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97" type="#_x0000_t202" style="position:absolute;margin-left:276.35pt;margin-top:115.95pt;width:192.85pt;height:37.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" stroked="f">
                <v:textbox>
                  <w:txbxContent>
                    <w:p w:rsidR="00E659D3" w:rsidRPr="009D0A2B" w:rsidRDefault="00E659D3" w:rsidP="009D0A2B">
                      <w:pPr>
                        <w:jc w:val="center"/>
                        <w:rPr>
                          <w:rFonts w:cs="Arial"/>
                          <w:i/>
                          <w:sz w:val="14"/>
                          <w:szCs w:val="14"/>
                        </w:rPr>
                      </w:pPr>
                      <w:r w:rsidRPr="009D0A2B">
                        <w:rPr>
                          <w:rFonts w:cs="Arial"/>
                          <w:sz w:val="14"/>
                          <w:szCs w:val="14"/>
                        </w:rPr>
                        <w:t xml:space="preserve">Permeable Pavers at the transit center parking lot in Mound, Minnesota. Courtesy of: </w:t>
                      </w:r>
                      <w:r w:rsidRPr="009D0A2B">
                        <w:rPr>
                          <w:rFonts w:cs="Arial"/>
                          <w:i/>
                          <w:sz w:val="14"/>
                          <w:szCs w:val="14"/>
                        </w:rPr>
                        <w:t>Julie Westerlund, MN DNR.</w:t>
                      </w:r>
                    </w:p>
                  </w:txbxContent>
                </v:textbox>
                <w10:wrap type="square"/>
              </v:shape>
            </w:pict>
          </mc:Fallback>
        </mc:AlternateContent>
      </w:r>
      <w:r w:rsidR="00A402C7" w:rsidRPr="009D0A2B">
        <w:rPr>
          <w:rFonts w:cs="Arial"/>
          <w:szCs w:val="20"/>
        </w:rPr>
        <w:t>USEPA research recognizes porous pavement as a cost-effective approach to reducing CSOs and improving urban water quality.</w:t>
      </w:r>
      <w:r w:rsidR="00A402C7" w:rsidRPr="009D0A2B">
        <w:rPr>
          <w:rStyle w:val="EndnoteReference"/>
          <w:rFonts w:cs="Arial"/>
          <w:szCs w:val="20"/>
        </w:rPr>
        <w:endnoteReference w:id="73"/>
      </w:r>
      <w:r w:rsidR="00A402C7" w:rsidRPr="009D0A2B">
        <w:rPr>
          <w:rFonts w:cs="Arial"/>
          <w:szCs w:val="20"/>
        </w:rPr>
        <w:t xml:space="preserve"> In a set of experiments in Athens, Georgia, a porous parking lot built over low permeability, clay-rich soils was found to produce 93 percent less runoff than a standard asphalt lot, as measured during nine different storms each totaling between 0.3 and 1.85 cm of rainfall.</w:t>
      </w:r>
      <w:r w:rsidR="00A402C7" w:rsidRPr="009D0A2B">
        <w:rPr>
          <w:rStyle w:val="EndnoteReference"/>
          <w:rFonts w:cs="Arial"/>
          <w:szCs w:val="20"/>
        </w:rPr>
        <w:endnoteReference w:id="74"/>
      </w:r>
      <w:r w:rsidR="00A402C7" w:rsidRPr="009D0A2B">
        <w:rPr>
          <w:rFonts w:cs="Arial"/>
          <w:szCs w:val="20"/>
        </w:rPr>
        <w:t xml:space="preserve"> Modeling data suggests maximum implementation of porous pavement alone may generate CSO reductions of approximately </w:t>
      </w:r>
      <w:r w:rsidR="00A402C7" w:rsidRPr="009D0A2B">
        <w:rPr>
          <w:rFonts w:cs="Arial"/>
          <w:szCs w:val="20"/>
        </w:rPr>
        <w:br/>
        <w:t>11 percent.</w:t>
      </w:r>
      <w:r w:rsidR="00A402C7" w:rsidRPr="009D0A2B">
        <w:rPr>
          <w:rStyle w:val="EndnoteReference"/>
          <w:rFonts w:cs="Arial"/>
          <w:szCs w:val="20"/>
        </w:rPr>
        <w:endnoteReference w:id="75"/>
      </w:r>
    </w:p>
    <w:p w:rsidR="00A402C7" w:rsidRPr="009D0A2B" w:rsidRDefault="00A402C7" w:rsidP="009D0A2B">
      <w:pPr>
        <w:pStyle w:val="AppendixDHeading"/>
        <w:spacing w:line="276" w:lineRule="auto"/>
        <w:rPr>
          <w:rFonts w:ascii="Arial" w:hAnsi="Arial" w:cs="Arial"/>
          <w:sz w:val="20"/>
          <w:szCs w:val="20"/>
        </w:rPr>
      </w:pPr>
      <w:r w:rsidRPr="009D0A2B">
        <w:rPr>
          <w:rFonts w:ascii="Arial" w:hAnsi="Arial" w:cs="Arial"/>
          <w:sz w:val="20"/>
          <w:szCs w:val="20"/>
        </w:rPr>
        <w:t>Maintenance</w:t>
      </w:r>
    </w:p>
    <w:p w:rsidR="00A402C7" w:rsidRPr="009D0A2B" w:rsidRDefault="00A402C7" w:rsidP="009D0A2B">
      <w:pPr>
        <w:autoSpaceDE w:val="0"/>
        <w:autoSpaceDN w:val="0"/>
        <w:adjustRightInd w:val="0"/>
        <w:spacing w:line="276" w:lineRule="auto"/>
        <w:rPr>
          <w:rFonts w:cs="Arial"/>
          <w:szCs w:val="20"/>
        </w:rPr>
      </w:pPr>
      <w:r w:rsidRPr="009D0A2B">
        <w:rPr>
          <w:rFonts w:cs="Arial"/>
          <w:szCs w:val="20"/>
        </w:rPr>
        <w:t>Porous pavement requires extensive maintenance compared with other practices, given the potential for clogging of the porous surface. To ensure the proper function of porous pavement the following activities should be completed on a monthly cycle: ensure that the paving area is clean of debris; ensure that the paving dewaters between storms; ensure that the area is clean of sediment. The surface should be inspected annually for signs of deterioration. The surface should be vacuum swept as needed to keep it free of sediment.</w:t>
      </w:r>
      <w:r w:rsidRPr="009D0A2B">
        <w:rPr>
          <w:rStyle w:val="EndnoteReference"/>
          <w:rFonts w:cs="Arial"/>
          <w:szCs w:val="20"/>
        </w:rPr>
        <w:endnoteReference w:id="76"/>
      </w:r>
      <w:r w:rsidRPr="009D0A2B">
        <w:rPr>
          <w:rFonts w:cs="Arial"/>
          <w:szCs w:val="20"/>
        </w:rPr>
        <w:t xml:space="preserve"> Similar maintenance activities should be considered for permeable pavers. Properly installed and maintained porous pavement has a significant lifespan, in excess of 20 years.</w:t>
      </w:r>
      <w:r w:rsidRPr="009D0A2B">
        <w:rPr>
          <w:rStyle w:val="EndnoteReference"/>
          <w:rFonts w:cs="Arial"/>
          <w:szCs w:val="20"/>
        </w:rPr>
        <w:endnoteReference w:id="77"/>
      </w:r>
    </w:p>
    <w:p w:rsidR="00A402C7" w:rsidRPr="009D0A2B" w:rsidRDefault="00A402C7" w:rsidP="009D0A2B">
      <w:pPr>
        <w:pStyle w:val="AppendixDHeading"/>
        <w:spacing w:line="276" w:lineRule="auto"/>
        <w:rPr>
          <w:rFonts w:ascii="Arial" w:hAnsi="Arial" w:cs="Arial"/>
          <w:sz w:val="20"/>
          <w:szCs w:val="20"/>
        </w:rPr>
      </w:pPr>
      <w:r w:rsidRPr="009D0A2B">
        <w:rPr>
          <w:rFonts w:ascii="Arial" w:hAnsi="Arial" w:cs="Arial"/>
          <w:sz w:val="20"/>
          <w:szCs w:val="20"/>
        </w:rPr>
        <w:t>Costs</w:t>
      </w:r>
    </w:p>
    <w:p w:rsidR="00A402C7" w:rsidRPr="009D0A2B" w:rsidRDefault="00A402C7" w:rsidP="009D0A2B">
      <w:pPr>
        <w:spacing w:line="276" w:lineRule="auto"/>
        <w:rPr>
          <w:rStyle w:val="apple-converted-space"/>
          <w:rFonts w:cs="Arial"/>
          <w:color w:val="000000"/>
          <w:szCs w:val="20"/>
        </w:rPr>
      </w:pPr>
      <w:r w:rsidRPr="009D0A2B">
        <w:rPr>
          <w:rStyle w:val="apple-style-span"/>
          <w:rFonts w:cs="Arial"/>
          <w:color w:val="000000"/>
          <w:szCs w:val="20"/>
        </w:rPr>
        <w:t>Porous pavement is significantly more expensive than traditional asphalt. Porous pavement can range from $3.93 to $5.90 per square foot (January 2010 dollars), depending on the design.</w:t>
      </w:r>
      <w:r w:rsidRPr="009D0A2B">
        <w:rPr>
          <w:rStyle w:val="EndnoteReference"/>
          <w:rFonts w:cs="Arial"/>
          <w:color w:val="000000"/>
          <w:szCs w:val="20"/>
        </w:rPr>
        <w:endnoteReference w:id="78"/>
      </w:r>
      <w:r w:rsidRPr="009D0A2B">
        <w:rPr>
          <w:rStyle w:val="apple-style-span"/>
          <w:rFonts w:cs="Arial"/>
          <w:color w:val="000000"/>
          <w:szCs w:val="20"/>
        </w:rPr>
        <w:t xml:space="preserve"> In comparison to conventional pavement, porous pavement can cost $45,000 to $100,000 more per impervious acre treated.</w:t>
      </w:r>
      <w:r w:rsidRPr="009D0A2B">
        <w:rPr>
          <w:rStyle w:val="EndnoteReference"/>
          <w:rFonts w:cs="Arial"/>
          <w:color w:val="000000"/>
          <w:szCs w:val="20"/>
        </w:rPr>
        <w:endnoteReference w:id="79"/>
      </w:r>
      <w:r w:rsidRPr="009D0A2B">
        <w:rPr>
          <w:rStyle w:val="apple-style-span"/>
          <w:rFonts w:cs="Arial"/>
          <w:color w:val="000000"/>
          <w:szCs w:val="20"/>
        </w:rPr>
        <w:t xml:space="preserve"> Annual operation and maintenance costs are </w:t>
      </w:r>
      <w:r w:rsidRPr="009D0A2B">
        <w:rPr>
          <w:rStyle w:val="apple-converted-space"/>
          <w:rFonts w:cs="Arial"/>
          <w:color w:val="000000"/>
          <w:szCs w:val="20"/>
        </w:rPr>
        <w:t>roughly 4 percent of capital costs, or approximately $2.63 per square foot (January 2010 dollars).</w:t>
      </w:r>
      <w:r w:rsidRPr="009D0A2B">
        <w:rPr>
          <w:rStyle w:val="EndnoteReference"/>
          <w:rFonts w:cs="Arial"/>
          <w:color w:val="000000"/>
          <w:szCs w:val="20"/>
        </w:rPr>
        <w:endnoteReference w:id="80"/>
      </w:r>
    </w:p>
    <w:p w:rsidR="00A402C7" w:rsidRPr="002615FD" w:rsidRDefault="00A402C7" w:rsidP="005F74AA">
      <w:pPr>
        <w:rPr>
          <w:rFonts w:ascii="Times New Roman" w:hAnsi="Times New Roman"/>
          <w:sz w:val="24"/>
        </w:rPr>
      </w:pPr>
    </w:p>
    <w:p w:rsidR="00A402C7" w:rsidRDefault="00A402C7" w:rsidP="005F74AA">
      <w:pPr>
        <w:rPr>
          <w:rFonts w:ascii="Times New Roman" w:hAnsi="Times New Roman"/>
          <w:sz w:val="24"/>
        </w:rPr>
        <w:sectPr w:rsidR="00A402C7" w:rsidSect="005F01AD">
          <w:endnotePr>
            <w:numFmt w:val="decimal"/>
            <w:numRestart w:val="eachSect"/>
          </w:endnotePr>
          <w:pgSz w:w="12240" w:h="15840"/>
          <w:pgMar w:top="1440" w:right="1440" w:bottom="1440" w:left="1440" w:header="720" w:footer="720" w:gutter="0"/>
          <w:pgNumType w:chapStyle="9"/>
          <w:cols w:space="720"/>
          <w:docGrid w:linePitch="360"/>
        </w:sectPr>
      </w:pPr>
    </w:p>
    <w:p w:rsidR="00A402C7" w:rsidRPr="0004522E" w:rsidRDefault="00A402C7" w:rsidP="0004522E">
      <w:pPr>
        <w:pBdr>
          <w:bottom w:val="single" w:sz="6" w:space="1" w:color="auto"/>
        </w:pBdr>
        <w:autoSpaceDE w:val="0"/>
        <w:autoSpaceDN w:val="0"/>
        <w:adjustRightInd w:val="0"/>
        <w:spacing w:line="276" w:lineRule="auto"/>
        <w:jc w:val="center"/>
        <w:rPr>
          <w:rFonts w:cs="Arial"/>
          <w:b/>
          <w:szCs w:val="20"/>
        </w:rPr>
      </w:pPr>
      <w:r w:rsidRPr="0004522E">
        <w:rPr>
          <w:rFonts w:cs="Arial"/>
          <w:b/>
          <w:szCs w:val="20"/>
        </w:rPr>
        <w:t>Rain Barrels and Cisterns</w:t>
      </w:r>
    </w:p>
    <w:p w:rsidR="00A402C7" w:rsidRPr="0004522E" w:rsidRDefault="00A402C7" w:rsidP="0004522E">
      <w:pPr>
        <w:autoSpaceDE w:val="0"/>
        <w:autoSpaceDN w:val="0"/>
        <w:adjustRightInd w:val="0"/>
        <w:spacing w:line="276" w:lineRule="auto"/>
        <w:rPr>
          <w:rFonts w:cs="Arial"/>
          <w:b/>
          <w:szCs w:val="20"/>
        </w:rPr>
      </w:pPr>
    </w:p>
    <w:p w:rsidR="00A402C7" w:rsidRPr="0004522E" w:rsidRDefault="00A402C7" w:rsidP="0004522E">
      <w:pPr>
        <w:autoSpaceDE w:val="0"/>
        <w:autoSpaceDN w:val="0"/>
        <w:adjustRightInd w:val="0"/>
        <w:spacing w:line="276" w:lineRule="auto"/>
        <w:rPr>
          <w:rFonts w:cs="Arial"/>
          <w:szCs w:val="20"/>
        </w:rPr>
      </w:pPr>
      <w:r w:rsidRPr="0004522E">
        <w:rPr>
          <w:rFonts w:cs="Arial"/>
          <w:szCs w:val="20"/>
        </w:rPr>
        <w:t>Rain barrels and cisterns are on-site rainwater collection systems, designed to collect roof stormwater runoff.</w:t>
      </w:r>
      <w:r w:rsidRPr="0004522E">
        <w:rPr>
          <w:rStyle w:val="EndnoteReference"/>
          <w:rFonts w:cs="Arial"/>
          <w:szCs w:val="20"/>
        </w:rPr>
        <w:endnoteReference w:id="81"/>
      </w:r>
      <w:r w:rsidRPr="0004522E">
        <w:rPr>
          <w:rFonts w:cs="Arial"/>
          <w:szCs w:val="20"/>
        </w:rPr>
        <w:t xml:space="preserve">   </w:t>
      </w:r>
    </w:p>
    <w:tbl>
      <w:tblPr>
        <w:tblpPr w:leftFromText="180" w:rightFromText="180" w:vertAnchor="text" w:horzAnchor="margin" w:tblpXSpec="right" w:tblpY="544"/>
        <w:tblW w:w="0" w:type="auto"/>
        <w:tblLayout w:type="fixed"/>
        <w:tblCellMar>
          <w:left w:w="0" w:type="dxa"/>
          <w:right w:w="0" w:type="dxa"/>
        </w:tblCellMar>
        <w:tblLook w:val="04A0" w:firstRow="1" w:lastRow="0" w:firstColumn="1" w:lastColumn="0" w:noHBand="0" w:noVBand="1"/>
      </w:tblPr>
      <w:tblGrid>
        <w:gridCol w:w="4590"/>
      </w:tblGrid>
      <w:tr w:rsidR="0069213A" w:rsidRPr="00FC189F" w:rsidTr="0069213A">
        <w:trPr>
          <w:trHeight w:val="3423"/>
        </w:trPr>
        <w:tc>
          <w:tcPr>
            <w:tcW w:w="4590" w:type="dxa"/>
            <w:vAlign w:val="center"/>
          </w:tcPr>
          <w:p w:rsidR="0069213A" w:rsidRDefault="00726551" w:rsidP="0069213A">
            <w:pPr>
              <w:autoSpaceDE w:val="0"/>
              <w:autoSpaceDN w:val="0"/>
              <w:adjustRightInd w:val="0"/>
              <w:spacing w:before="20"/>
              <w:jc w:val="center"/>
            </w:pPr>
            <w:r>
              <w:rPr>
                <w:noProof/>
              </w:rPr>
              <w:drawing>
                <wp:inline distT="0" distB="0" distL="0" distR="0">
                  <wp:extent cx="2857500" cy="2095500"/>
                  <wp:effectExtent l="19050" t="0" r="0" b="0"/>
                  <wp:docPr id="14" name="Picture 14" descr="RainB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inBBL"/>
                          <pic:cNvPicPr>
                            <a:picLocks noChangeAspect="1" noChangeArrowheads="1"/>
                          </pic:cNvPicPr>
                        </pic:nvPicPr>
                        <pic:blipFill>
                          <a:blip r:embed="rId146" cstate="print"/>
                          <a:srcRect/>
                          <a:stretch>
                            <a:fillRect/>
                          </a:stretch>
                        </pic:blipFill>
                        <pic:spPr bwMode="auto">
                          <a:xfrm>
                            <a:off x="0" y="0"/>
                            <a:ext cx="2857500" cy="2095500"/>
                          </a:xfrm>
                          <a:prstGeom prst="rect">
                            <a:avLst/>
                          </a:prstGeom>
                          <a:noFill/>
                          <a:ln w="9525">
                            <a:noFill/>
                            <a:miter lim="800000"/>
                            <a:headEnd/>
                            <a:tailEnd/>
                          </a:ln>
                        </pic:spPr>
                      </pic:pic>
                    </a:graphicData>
                  </a:graphic>
                </wp:inline>
              </w:drawing>
            </w:r>
          </w:p>
        </w:tc>
      </w:tr>
      <w:tr w:rsidR="00FC189F" w:rsidRPr="00FC189F" w:rsidTr="0069213A">
        <w:trPr>
          <w:trHeight w:val="255"/>
        </w:trPr>
        <w:tc>
          <w:tcPr>
            <w:tcW w:w="4590" w:type="dxa"/>
          </w:tcPr>
          <w:p w:rsidR="00FC189F" w:rsidRPr="0004522E" w:rsidRDefault="00FC189F" w:rsidP="00FC189F">
            <w:pPr>
              <w:spacing w:before="40"/>
              <w:jc w:val="center"/>
              <w:rPr>
                <w:rFonts w:cs="Arial"/>
                <w:sz w:val="14"/>
                <w:szCs w:val="14"/>
              </w:rPr>
            </w:pPr>
            <w:r w:rsidRPr="0004522E">
              <w:rPr>
                <w:rFonts w:cs="Arial"/>
                <w:sz w:val="14"/>
                <w:szCs w:val="14"/>
              </w:rPr>
              <w:t xml:space="preserve">Typical 55-gallon rain barrel. </w:t>
            </w:r>
            <w:r w:rsidR="0069213A" w:rsidRPr="00FC189F">
              <w:rPr>
                <w:rFonts w:cs="Arial"/>
                <w:i/>
                <w:sz w:val="14"/>
                <w:szCs w:val="14"/>
              </w:rPr>
              <w:t xml:space="preserve"> Photo courtesy of Lexington-Fayette Urban County Government (KY)</w:t>
            </w:r>
          </w:p>
        </w:tc>
      </w:tr>
    </w:tbl>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Construction</w:t>
      </w:r>
    </w:p>
    <w:p w:rsidR="00A402C7" w:rsidRPr="0004522E" w:rsidRDefault="00A402C7" w:rsidP="0004522E">
      <w:pPr>
        <w:autoSpaceDE w:val="0"/>
        <w:autoSpaceDN w:val="0"/>
        <w:adjustRightInd w:val="0"/>
        <w:spacing w:line="276" w:lineRule="auto"/>
        <w:rPr>
          <w:rFonts w:cs="Arial"/>
          <w:szCs w:val="20"/>
        </w:rPr>
      </w:pPr>
      <w:r w:rsidRPr="0004522E">
        <w:rPr>
          <w:rFonts w:cs="Arial"/>
          <w:szCs w:val="20"/>
        </w:rPr>
        <w:t>Rain barrels are generally above ground residential systems while cisterns are for commercial and/or industrial sites. Rain barrels can be created from any water-retaining material from an on-site or pre-manufactured source.</w:t>
      </w:r>
      <w:r w:rsidRPr="0004522E">
        <w:rPr>
          <w:rStyle w:val="EndnoteReference"/>
          <w:rFonts w:cs="Arial"/>
          <w:szCs w:val="20"/>
        </w:rPr>
        <w:endnoteReference w:id="82"/>
      </w:r>
      <w:r w:rsidRPr="0004522E">
        <w:rPr>
          <w:rFonts w:cs="Arial"/>
          <w:szCs w:val="20"/>
        </w:rPr>
        <w:t xml:space="preserve">  Rain barrels often hold between 55 to 250 gallons with 55 to 75 gallon barrels being the most commonly used sizes.</w:t>
      </w:r>
      <w:r w:rsidRPr="0004522E">
        <w:rPr>
          <w:rStyle w:val="EndnoteReference"/>
          <w:rFonts w:cs="Arial"/>
          <w:szCs w:val="20"/>
        </w:rPr>
        <w:endnoteReference w:id="83"/>
      </w:r>
      <w:r w:rsidRPr="0004522E">
        <w:rPr>
          <w:rFonts w:cs="Arial"/>
          <w:szCs w:val="20"/>
        </w:rPr>
        <w:t xml:space="preserve">  Cisterns are large, underground or surface containers.  Cisterns are generally constructed from fiberglass, steel, concrete, plastic, or brick.  A typical cistern holds tens of thousands of gallons.</w:t>
      </w:r>
      <w:r w:rsidRPr="0004522E">
        <w:rPr>
          <w:rStyle w:val="EndnoteReference"/>
          <w:rFonts w:cs="Arial"/>
          <w:szCs w:val="20"/>
        </w:rPr>
        <w:endnoteReference w:id="84"/>
      </w:r>
      <w:r w:rsidRPr="0004522E">
        <w:rPr>
          <w:rFonts w:cs="Arial"/>
          <w:szCs w:val="20"/>
        </w:rPr>
        <w:t xml:space="preserve">  The basic components of a rain barrel or cistern include a connection to the gutter downspout, watertight storage container, secure cover, debris/mosquito screen, coarse inlet filter with clean-out valve, overflow pipe, manhole or access hatch, drain for cleaning, hose connection for water reuse, and extraction system (tap or pump).</w:t>
      </w:r>
      <w:r w:rsidRPr="0004522E">
        <w:rPr>
          <w:rStyle w:val="EndnoteReference"/>
          <w:rFonts w:cs="Arial"/>
          <w:szCs w:val="20"/>
        </w:rPr>
        <w:endnoteReference w:id="85"/>
      </w:r>
      <w:r w:rsidRPr="0004522E">
        <w:rPr>
          <w:rFonts w:cs="Arial"/>
          <w:szCs w:val="20"/>
        </w:rPr>
        <w:t xml:space="preserve"> Additional features may include a water level indicator, sediment trap, or connector pipe to an additional tank for extra storage volume.</w:t>
      </w:r>
      <w:r w:rsidRPr="0004522E">
        <w:rPr>
          <w:rStyle w:val="EndnoteReference"/>
          <w:rFonts w:cs="Arial"/>
          <w:szCs w:val="20"/>
        </w:rPr>
        <w:endnoteReference w:id="86"/>
      </w:r>
      <w:r w:rsidRPr="0004522E">
        <w:rPr>
          <w:rFonts w:cs="Arial"/>
          <w:noProof/>
          <w:szCs w:val="20"/>
        </w:rPr>
        <w:t xml:space="preserve"> </w:t>
      </w:r>
    </w:p>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Benefits</w:t>
      </w:r>
    </w:p>
    <w:p w:rsidR="00A402C7" w:rsidRPr="0004522E" w:rsidRDefault="00A402C7" w:rsidP="0004522E">
      <w:pPr>
        <w:autoSpaceDE w:val="0"/>
        <w:autoSpaceDN w:val="0"/>
        <w:adjustRightInd w:val="0"/>
        <w:spacing w:line="276" w:lineRule="auto"/>
        <w:rPr>
          <w:rFonts w:cs="Arial"/>
          <w:szCs w:val="20"/>
        </w:rPr>
      </w:pPr>
      <w:r w:rsidRPr="0004522E">
        <w:rPr>
          <w:rFonts w:cs="Arial"/>
          <w:szCs w:val="20"/>
        </w:rPr>
        <w:t>Benefits from rain barrels include applications from water re-use and reductions in stormwater volume.  Captured water from rain barrels and cisterns may be re-used for irrigation, landscaping, sidewalk cleaning, industrial use, firefighting, or, in more elaborate systems, connected to the buildings cooling towers or plumbing for use in toilets.</w:t>
      </w:r>
      <w:r w:rsidRPr="0004522E">
        <w:rPr>
          <w:rStyle w:val="EndnoteReference"/>
          <w:rFonts w:cs="Arial"/>
          <w:szCs w:val="20"/>
        </w:rPr>
        <w:endnoteReference w:id="87"/>
      </w:r>
      <w:r w:rsidRPr="0004522E">
        <w:rPr>
          <w:rFonts w:cs="Arial"/>
          <w:szCs w:val="20"/>
        </w:rPr>
        <w:t xml:space="preserve"> Benefits related to reductions in stormwater volume include reductions in transportation of pollutants, especially heavy metals, associated with atmospheric deposition on rooftops into receiving waters and reduced water consumption for nonpotable uses.</w:t>
      </w:r>
      <w:r w:rsidRPr="0004522E">
        <w:rPr>
          <w:rStyle w:val="EndnoteReference"/>
          <w:rFonts w:cs="Arial"/>
          <w:szCs w:val="20"/>
        </w:rPr>
        <w:endnoteReference w:id="88"/>
      </w:r>
    </w:p>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Limitations</w:t>
      </w:r>
    </w:p>
    <w:p w:rsidR="00A402C7" w:rsidRPr="0004522E" w:rsidRDefault="00A402C7" w:rsidP="0004522E">
      <w:pPr>
        <w:autoSpaceDE w:val="0"/>
        <w:autoSpaceDN w:val="0"/>
        <w:adjustRightInd w:val="0"/>
        <w:spacing w:line="276" w:lineRule="auto"/>
        <w:rPr>
          <w:rFonts w:cs="Arial"/>
          <w:szCs w:val="20"/>
        </w:rPr>
      </w:pPr>
      <w:r w:rsidRPr="0004522E">
        <w:rPr>
          <w:rFonts w:cs="Arial"/>
          <w:szCs w:val="20"/>
        </w:rPr>
        <w:t>The biggest limitation to the installation and use of rain barrels and cisterns is the need for active management/maintenance and initial capital cost.</w:t>
      </w:r>
      <w:r w:rsidRPr="0004522E">
        <w:rPr>
          <w:rStyle w:val="EndnoteReference"/>
          <w:rFonts w:cs="Arial"/>
          <w:szCs w:val="20"/>
        </w:rPr>
        <w:endnoteReference w:id="89"/>
      </w:r>
      <w:r w:rsidRPr="0004522E">
        <w:rPr>
          <w:rFonts w:cs="Arial"/>
          <w:szCs w:val="20"/>
        </w:rPr>
        <w:t xml:space="preserve">  Generally, the ease and efficiency of municipal water supply systems and the low cost of potable water discourage people from implementing on-site rainwater collection and reuse systems.  Improper or infrequent use of the collection system by the property owner, such as neglecting to empty the rain barrel between storm events, may result in unintended discharges.</w:t>
      </w:r>
      <w:r w:rsidRPr="0004522E">
        <w:rPr>
          <w:rStyle w:val="EndnoteReference"/>
          <w:rFonts w:cs="Arial"/>
          <w:szCs w:val="20"/>
        </w:rPr>
        <w:endnoteReference w:id="90"/>
      </w:r>
      <w:r w:rsidRPr="0004522E">
        <w:rPr>
          <w:rFonts w:cs="Arial"/>
          <w:szCs w:val="20"/>
        </w:rPr>
        <w:t xml:space="preserve">  </w:t>
      </w:r>
    </w:p>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Climate Considerations</w:t>
      </w:r>
    </w:p>
    <w:p w:rsidR="00A402C7" w:rsidRPr="0004522E" w:rsidRDefault="00A402C7" w:rsidP="0004522E">
      <w:pPr>
        <w:autoSpaceDE w:val="0"/>
        <w:autoSpaceDN w:val="0"/>
        <w:adjustRightInd w:val="0"/>
        <w:spacing w:line="276" w:lineRule="auto"/>
        <w:rPr>
          <w:rFonts w:cs="Arial"/>
          <w:szCs w:val="20"/>
        </w:rPr>
      </w:pPr>
      <w:r w:rsidRPr="0004522E">
        <w:rPr>
          <w:rFonts w:cs="Arial"/>
          <w:szCs w:val="20"/>
        </w:rPr>
        <w:t>Climate is an important consideration for rain barrel and cistern use as the system should be designed to account for freezing potential.  Rain barrels and cisterns placed on the ground require extra insulation on the exposed surfaces which may include lining the intake pipe with heat tape and closing the overflow valve.  Water levels must be lowered at the beginning of winter to prevent possible winter ice damage and provide the needed storage for capturing rooftop runoff from snow melt.  The year round use of rain barrels in cold climates is not recommended since bursting may occur due to ice formation and freezing temperatures.</w:t>
      </w:r>
      <w:r w:rsidRPr="0004522E">
        <w:rPr>
          <w:rStyle w:val="EndnoteReference"/>
          <w:rFonts w:cs="Arial"/>
          <w:szCs w:val="20"/>
        </w:rPr>
        <w:endnoteReference w:id="91"/>
      </w:r>
      <w:r w:rsidRPr="0004522E">
        <w:rPr>
          <w:rFonts w:cs="Arial"/>
          <w:szCs w:val="20"/>
        </w:rPr>
        <w:t xml:space="preserve"> It is recommended that disconnection occur from the roof gutters during winter months.  During the time in which the rain barrel or cistern is disconnected downspout piping must be reconnected and directed to a grassy area away from the structure to prevent winter snowmelt from damaging building foundations.</w:t>
      </w:r>
    </w:p>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CSO Impact</w:t>
      </w:r>
    </w:p>
    <w:p w:rsidR="00A402C7" w:rsidRPr="0004522E" w:rsidRDefault="00A402C7" w:rsidP="0004522E">
      <w:pPr>
        <w:autoSpaceDE w:val="0"/>
        <w:autoSpaceDN w:val="0"/>
        <w:adjustRightInd w:val="0"/>
        <w:spacing w:line="276" w:lineRule="auto"/>
        <w:rPr>
          <w:rFonts w:cs="Arial"/>
          <w:szCs w:val="20"/>
        </w:rPr>
      </w:pPr>
      <w:r w:rsidRPr="0004522E">
        <w:rPr>
          <w:rFonts w:cs="Arial"/>
          <w:szCs w:val="20"/>
        </w:rPr>
        <w:t>Rain barrels and the associated stormwater captured can significantly reduce stormwater runoff into sewers.  The City of Milwaukee found that attaching rain barrels to 40,000 houses could decrease runoff by 273 million gallons per year and decrease water treatment plant operation costs during light rainfall.</w:t>
      </w:r>
      <w:r w:rsidRPr="0004522E">
        <w:rPr>
          <w:rStyle w:val="EndnoteReference"/>
          <w:rFonts w:cs="Arial"/>
          <w:szCs w:val="20"/>
        </w:rPr>
        <w:endnoteReference w:id="92"/>
      </w:r>
      <w:r w:rsidRPr="0004522E">
        <w:rPr>
          <w:rFonts w:cs="Arial"/>
          <w:szCs w:val="20"/>
        </w:rPr>
        <w:t xml:space="preserve">  </w:t>
      </w:r>
    </w:p>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Maintenance</w:t>
      </w:r>
    </w:p>
    <w:p w:rsidR="00A402C7" w:rsidRPr="0004522E" w:rsidRDefault="00A402C7" w:rsidP="0004522E">
      <w:pPr>
        <w:autoSpaceDE w:val="0"/>
        <w:autoSpaceDN w:val="0"/>
        <w:adjustRightInd w:val="0"/>
        <w:spacing w:line="276" w:lineRule="auto"/>
        <w:rPr>
          <w:rFonts w:cs="Arial"/>
          <w:szCs w:val="20"/>
        </w:rPr>
      </w:pPr>
      <w:r w:rsidRPr="0004522E">
        <w:rPr>
          <w:rFonts w:cs="Arial"/>
          <w:szCs w:val="20"/>
        </w:rPr>
        <w:t>Rain barrel maintenance is not complicated when compared to other green practices.  The following components should be inspected at least twice a year and repaired or replaced as needed: roof catchment, gutters, downspout, entrance at rain barrel, runoff /overflow pipe, and spigot.</w:t>
      </w:r>
      <w:r w:rsidRPr="0004522E">
        <w:rPr>
          <w:rStyle w:val="EndnoteReference"/>
          <w:rFonts w:cs="Arial"/>
          <w:szCs w:val="20"/>
        </w:rPr>
        <w:endnoteReference w:id="93"/>
      </w:r>
      <w:r w:rsidRPr="0004522E">
        <w:rPr>
          <w:rFonts w:cs="Arial"/>
          <w:szCs w:val="20"/>
        </w:rPr>
        <w:t xml:space="preserve"> On a monthly cycle the rain barrel should be emptied to allow for more rooftop runoff and decrease the likelihood of algal growth.  Once a year the rain barrel should be tipped over and rinsed out with a hose.  Leaks in rain barrels can be repaired with aquarium caulk, or a clear sealant available at most hardware stores.</w:t>
      </w:r>
      <w:r w:rsidRPr="0004522E">
        <w:rPr>
          <w:rStyle w:val="EndnoteReference"/>
          <w:rFonts w:cs="Arial"/>
          <w:szCs w:val="20"/>
        </w:rPr>
        <w:endnoteReference w:id="94"/>
      </w:r>
      <w:r w:rsidRPr="0004522E">
        <w:rPr>
          <w:rFonts w:cs="Arial"/>
          <w:szCs w:val="20"/>
        </w:rPr>
        <w:t xml:space="preserve"> Maintenance of cisterns is similar to rain barrels, although on a much larger scale.</w:t>
      </w:r>
      <w:r w:rsidRPr="0004522E">
        <w:rPr>
          <w:rStyle w:val="EndnoteReference"/>
          <w:rFonts w:cs="Arial"/>
          <w:szCs w:val="20"/>
        </w:rPr>
        <w:endnoteReference w:id="95"/>
      </w:r>
      <w:r w:rsidRPr="0004522E">
        <w:rPr>
          <w:rFonts w:cs="Arial"/>
          <w:szCs w:val="20"/>
        </w:rPr>
        <w:t xml:space="preserve"> The tank of a cistern should be cleaned out about once a year if debris is present. Screens should be cleared as necessary and compacted sediment cleaned out semi-annually.</w:t>
      </w:r>
      <w:r w:rsidRPr="0004522E">
        <w:rPr>
          <w:rStyle w:val="EndnoteReference"/>
          <w:rFonts w:cs="Arial"/>
          <w:szCs w:val="20"/>
        </w:rPr>
        <w:endnoteReference w:id="96"/>
      </w:r>
    </w:p>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Costs</w:t>
      </w:r>
    </w:p>
    <w:p w:rsidR="00A402C7" w:rsidRPr="0004522E" w:rsidRDefault="00A402C7" w:rsidP="0004522E">
      <w:pPr>
        <w:autoSpaceDE w:val="0"/>
        <w:autoSpaceDN w:val="0"/>
        <w:adjustRightInd w:val="0"/>
        <w:spacing w:line="276" w:lineRule="auto"/>
        <w:rPr>
          <w:rFonts w:cs="Arial"/>
          <w:szCs w:val="20"/>
        </w:rPr>
      </w:pPr>
      <w:r w:rsidRPr="0004522E">
        <w:rPr>
          <w:rFonts w:cs="Arial"/>
          <w:szCs w:val="20"/>
        </w:rPr>
        <w:t>Fifty-five-gallon rain barrels typically cost $50 to $100 for prefabricated units, or $30 for do-it-yourself kits</w:t>
      </w:r>
      <w:r w:rsidRPr="0004522E">
        <w:rPr>
          <w:rStyle w:val="EndnoteReference"/>
          <w:rFonts w:cs="Arial"/>
          <w:szCs w:val="20"/>
        </w:rPr>
        <w:endnoteReference w:id="97"/>
      </w:r>
      <w:r w:rsidRPr="0004522E">
        <w:rPr>
          <w:rFonts w:cs="Arial"/>
          <w:szCs w:val="20"/>
        </w:rPr>
        <w:t xml:space="preserve"> (January 2010 dollars).  Costs for large cistern systems are dependent on many site-specific factors, such as whether excavation is required for underground units.  The following table shows cistern tank costs depending on the tank material and capacity.  This table does not take into account the installation of the tank, site preparation, and other site-specific factors.</w:t>
      </w:r>
    </w:p>
    <w:p w:rsidR="00C7370E" w:rsidRPr="00A430C0" w:rsidRDefault="00C7370E" w:rsidP="005F74AA">
      <w:pPr>
        <w:autoSpaceDE w:val="0"/>
        <w:autoSpaceDN w:val="0"/>
        <w:adjustRightInd w:val="0"/>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A402C7" w:rsidRPr="0004522E" w:rsidTr="00A402C7">
        <w:tc>
          <w:tcPr>
            <w:tcW w:w="9576" w:type="dxa"/>
            <w:gridSpan w:val="4"/>
          </w:tcPr>
          <w:p w:rsidR="00A402C7" w:rsidRPr="0004522E" w:rsidRDefault="00A402C7" w:rsidP="00A402C7">
            <w:pPr>
              <w:spacing w:line="276" w:lineRule="auto"/>
              <w:jc w:val="center"/>
              <w:rPr>
                <w:rFonts w:cs="Arial"/>
                <w:szCs w:val="20"/>
              </w:rPr>
            </w:pPr>
            <w:r w:rsidRPr="0004522E">
              <w:rPr>
                <w:rFonts w:cs="Arial"/>
                <w:b/>
                <w:bCs/>
                <w:szCs w:val="20"/>
              </w:rPr>
              <w:t>Cistern tank cost by type ($/gallon, installation not included)*</w:t>
            </w:r>
          </w:p>
        </w:tc>
      </w:tr>
      <w:tr w:rsidR="00E607B0" w:rsidRPr="0004522E" w:rsidTr="00A402C7">
        <w:tc>
          <w:tcPr>
            <w:tcW w:w="2394" w:type="dxa"/>
          </w:tcPr>
          <w:p w:rsidR="00A402C7" w:rsidRPr="0004522E" w:rsidRDefault="00A402C7" w:rsidP="00A402C7">
            <w:pPr>
              <w:spacing w:line="276" w:lineRule="auto"/>
              <w:jc w:val="center"/>
              <w:rPr>
                <w:rFonts w:cs="Arial"/>
                <w:szCs w:val="20"/>
              </w:rPr>
            </w:pPr>
            <w:r w:rsidRPr="0004522E">
              <w:rPr>
                <w:rFonts w:cs="Arial"/>
                <w:b/>
                <w:bCs/>
                <w:szCs w:val="20"/>
              </w:rPr>
              <w:t>Fiberglass</w:t>
            </w:r>
          </w:p>
        </w:tc>
        <w:tc>
          <w:tcPr>
            <w:tcW w:w="2394" w:type="dxa"/>
          </w:tcPr>
          <w:p w:rsidR="00A402C7" w:rsidRPr="0004522E" w:rsidRDefault="00A402C7" w:rsidP="00A402C7">
            <w:pPr>
              <w:spacing w:line="276" w:lineRule="auto"/>
              <w:jc w:val="center"/>
              <w:rPr>
                <w:rFonts w:cs="Arial"/>
                <w:szCs w:val="20"/>
              </w:rPr>
            </w:pPr>
            <w:r w:rsidRPr="0004522E">
              <w:rPr>
                <w:rFonts w:cs="Arial"/>
                <w:b/>
                <w:bCs/>
                <w:szCs w:val="20"/>
              </w:rPr>
              <w:t>Steel</w:t>
            </w:r>
          </w:p>
        </w:tc>
        <w:tc>
          <w:tcPr>
            <w:tcW w:w="2394" w:type="dxa"/>
          </w:tcPr>
          <w:p w:rsidR="00A402C7" w:rsidRPr="0004522E" w:rsidRDefault="00A402C7" w:rsidP="00A402C7">
            <w:pPr>
              <w:spacing w:line="276" w:lineRule="auto"/>
              <w:jc w:val="center"/>
              <w:rPr>
                <w:rFonts w:cs="Arial"/>
                <w:szCs w:val="20"/>
              </w:rPr>
            </w:pPr>
            <w:r w:rsidRPr="0004522E">
              <w:rPr>
                <w:rFonts w:cs="Arial"/>
                <w:b/>
                <w:bCs/>
                <w:szCs w:val="20"/>
              </w:rPr>
              <w:t>Plastic</w:t>
            </w:r>
          </w:p>
        </w:tc>
        <w:tc>
          <w:tcPr>
            <w:tcW w:w="2394" w:type="dxa"/>
          </w:tcPr>
          <w:p w:rsidR="00A402C7" w:rsidRPr="0004522E" w:rsidRDefault="00A402C7" w:rsidP="00A402C7">
            <w:pPr>
              <w:spacing w:line="276" w:lineRule="auto"/>
              <w:jc w:val="center"/>
              <w:rPr>
                <w:rFonts w:cs="Arial"/>
                <w:szCs w:val="20"/>
              </w:rPr>
            </w:pPr>
            <w:r w:rsidRPr="0004522E">
              <w:rPr>
                <w:rFonts w:cs="Arial"/>
                <w:b/>
                <w:bCs/>
                <w:szCs w:val="20"/>
              </w:rPr>
              <w:t>Concrete</w:t>
            </w:r>
          </w:p>
        </w:tc>
      </w:tr>
      <w:tr w:rsidR="00E607B0" w:rsidRPr="0004522E" w:rsidTr="00A402C7">
        <w:tc>
          <w:tcPr>
            <w:tcW w:w="2394" w:type="dxa"/>
          </w:tcPr>
          <w:p w:rsidR="00A402C7" w:rsidRPr="0004522E" w:rsidRDefault="00A402C7" w:rsidP="00A402C7">
            <w:pPr>
              <w:spacing w:line="276" w:lineRule="auto"/>
              <w:jc w:val="center"/>
              <w:rPr>
                <w:rFonts w:cs="Arial"/>
                <w:szCs w:val="20"/>
              </w:rPr>
            </w:pPr>
            <w:r w:rsidRPr="0004522E">
              <w:rPr>
                <w:rFonts w:cs="Arial"/>
                <w:szCs w:val="20"/>
              </w:rPr>
              <w:t>10,000 gal and up</w:t>
            </w:r>
          </w:p>
          <w:p w:rsidR="00A402C7" w:rsidRPr="0004522E" w:rsidRDefault="00A402C7" w:rsidP="00A402C7">
            <w:pPr>
              <w:spacing w:line="276" w:lineRule="auto"/>
              <w:jc w:val="center"/>
              <w:rPr>
                <w:rFonts w:cs="Arial"/>
                <w:szCs w:val="20"/>
              </w:rPr>
            </w:pPr>
            <w:r w:rsidRPr="0004522E">
              <w:rPr>
                <w:rFonts w:cs="Arial"/>
                <w:szCs w:val="20"/>
              </w:rPr>
              <w:t>$1.34</w:t>
            </w:r>
          </w:p>
        </w:tc>
        <w:tc>
          <w:tcPr>
            <w:tcW w:w="2394" w:type="dxa"/>
          </w:tcPr>
          <w:p w:rsidR="00A402C7" w:rsidRPr="0004522E" w:rsidRDefault="00A402C7" w:rsidP="00A402C7">
            <w:pPr>
              <w:spacing w:line="276" w:lineRule="auto"/>
              <w:jc w:val="center"/>
              <w:rPr>
                <w:rFonts w:cs="Arial"/>
                <w:szCs w:val="20"/>
              </w:rPr>
            </w:pPr>
            <w:r w:rsidRPr="0004522E">
              <w:rPr>
                <w:rFonts w:cs="Arial"/>
                <w:szCs w:val="20"/>
              </w:rPr>
              <w:t>500-15,000 gal</w:t>
            </w:r>
          </w:p>
          <w:p w:rsidR="00A402C7" w:rsidRPr="0004522E" w:rsidRDefault="00A402C7" w:rsidP="00A402C7">
            <w:pPr>
              <w:spacing w:line="276" w:lineRule="auto"/>
              <w:jc w:val="center"/>
              <w:rPr>
                <w:rFonts w:cs="Arial"/>
                <w:szCs w:val="20"/>
              </w:rPr>
            </w:pPr>
            <w:r w:rsidRPr="0004522E">
              <w:rPr>
                <w:rFonts w:cs="Arial"/>
                <w:szCs w:val="20"/>
              </w:rPr>
              <w:t>$2.54</w:t>
            </w:r>
          </w:p>
        </w:tc>
        <w:tc>
          <w:tcPr>
            <w:tcW w:w="2394" w:type="dxa"/>
          </w:tcPr>
          <w:p w:rsidR="00A402C7" w:rsidRPr="0004522E" w:rsidRDefault="00A402C7" w:rsidP="00A402C7">
            <w:pPr>
              <w:spacing w:line="276" w:lineRule="auto"/>
              <w:jc w:val="center"/>
              <w:rPr>
                <w:rFonts w:cs="Arial"/>
                <w:szCs w:val="20"/>
              </w:rPr>
            </w:pPr>
            <w:r w:rsidRPr="0004522E">
              <w:rPr>
                <w:rFonts w:cs="Arial"/>
                <w:szCs w:val="20"/>
              </w:rPr>
              <w:t>50-1,500 gal</w:t>
            </w:r>
          </w:p>
          <w:p w:rsidR="00A402C7" w:rsidRPr="0004522E" w:rsidRDefault="00A402C7" w:rsidP="00A402C7">
            <w:pPr>
              <w:spacing w:line="276" w:lineRule="auto"/>
              <w:jc w:val="center"/>
              <w:rPr>
                <w:rFonts w:cs="Arial"/>
                <w:szCs w:val="20"/>
              </w:rPr>
            </w:pPr>
            <w:r w:rsidRPr="0004522E">
              <w:rPr>
                <w:rFonts w:cs="Arial"/>
                <w:szCs w:val="20"/>
              </w:rPr>
              <w:t>$1.45</w:t>
            </w:r>
          </w:p>
        </w:tc>
        <w:tc>
          <w:tcPr>
            <w:tcW w:w="2394" w:type="dxa"/>
          </w:tcPr>
          <w:p w:rsidR="00A402C7" w:rsidRPr="0004522E" w:rsidRDefault="00A402C7" w:rsidP="00A402C7">
            <w:pPr>
              <w:spacing w:line="276" w:lineRule="auto"/>
              <w:jc w:val="center"/>
              <w:rPr>
                <w:rFonts w:cs="Arial"/>
                <w:szCs w:val="20"/>
              </w:rPr>
            </w:pPr>
            <w:r w:rsidRPr="0004522E">
              <w:rPr>
                <w:rFonts w:cs="Arial"/>
                <w:szCs w:val="20"/>
              </w:rPr>
              <w:t>2,000 gal and up</w:t>
            </w:r>
          </w:p>
          <w:p w:rsidR="00A402C7" w:rsidRPr="0004522E" w:rsidRDefault="00A402C7" w:rsidP="00A402C7">
            <w:pPr>
              <w:spacing w:line="276" w:lineRule="auto"/>
              <w:jc w:val="center"/>
              <w:rPr>
                <w:rFonts w:cs="Arial"/>
                <w:szCs w:val="20"/>
              </w:rPr>
            </w:pPr>
            <w:r w:rsidRPr="0004522E">
              <w:rPr>
                <w:rFonts w:cs="Arial"/>
                <w:szCs w:val="20"/>
              </w:rPr>
              <w:t>$1.68</w:t>
            </w:r>
          </w:p>
        </w:tc>
      </w:tr>
    </w:tbl>
    <w:p w:rsidR="00A402C7" w:rsidRPr="0004522E" w:rsidRDefault="00A402C7" w:rsidP="005F74AA">
      <w:pPr>
        <w:rPr>
          <w:rFonts w:cs="Arial"/>
          <w:bCs/>
          <w:iCs/>
          <w:szCs w:val="20"/>
        </w:rPr>
      </w:pPr>
      <w:r w:rsidRPr="0004522E">
        <w:rPr>
          <w:rFonts w:cs="Arial"/>
          <w:szCs w:val="20"/>
        </w:rPr>
        <w:t xml:space="preserve">Source: WERF BMP and LID Whole Life Cost Model, Version 2.0. As cited in </w:t>
      </w:r>
      <w:r w:rsidRPr="0004522E">
        <w:rPr>
          <w:rFonts w:cs="Arial"/>
          <w:bCs/>
          <w:iCs/>
          <w:szCs w:val="20"/>
        </w:rPr>
        <w:t>Guidance for Federal Land Management in the Chesapeake Bay Watershed, 2010.  *Prices inflated from reported 2009 dollars to January 2010 dollars.</w:t>
      </w:r>
    </w:p>
    <w:p w:rsidR="00C7370E" w:rsidRPr="0097191B" w:rsidRDefault="00C7370E" w:rsidP="005F74AA">
      <w:pPr>
        <w:rPr>
          <w:rFonts w:ascii="Times New Roman" w:hAnsi="Times New Roman"/>
          <w:bCs/>
          <w:iCs/>
          <w:sz w:val="18"/>
          <w:szCs w:val="18"/>
        </w:rPr>
      </w:pPr>
    </w:p>
    <w:p w:rsidR="00A402C7" w:rsidRPr="0004522E" w:rsidRDefault="00A402C7" w:rsidP="0004522E">
      <w:pPr>
        <w:spacing w:line="276" w:lineRule="auto"/>
        <w:rPr>
          <w:rFonts w:cs="Arial"/>
          <w:bCs/>
          <w:iCs/>
          <w:szCs w:val="20"/>
        </w:rPr>
      </w:pPr>
      <w:r w:rsidRPr="0004522E">
        <w:rPr>
          <w:rFonts w:cs="Arial"/>
          <w:bCs/>
          <w:iCs/>
          <w:szCs w:val="20"/>
        </w:rPr>
        <w:t>The operation and maintenance cost burden for rain barrels and cisterns is low.</w:t>
      </w:r>
      <w:r w:rsidRPr="0004522E">
        <w:rPr>
          <w:rStyle w:val="EndnoteReference"/>
          <w:rFonts w:cs="Arial"/>
          <w:bCs/>
          <w:iCs/>
          <w:szCs w:val="20"/>
        </w:rPr>
        <w:endnoteReference w:id="98"/>
      </w:r>
      <w:r w:rsidRPr="0004522E">
        <w:rPr>
          <w:rFonts w:cs="Arial"/>
          <w:bCs/>
          <w:iCs/>
          <w:szCs w:val="20"/>
        </w:rPr>
        <w:t xml:space="preserve"> Excluding the periodic operational activity of emptying the rain barrel, the annual maintenance associated with disconnecting and cleaning the barrel would only take about one hour. Based on annual operation and maintenance costs associated with fiberglass cisterns being approximately 3 percent of construction costs, a 10,000 gallon cistern would cost about $400 per year to maintain.</w:t>
      </w:r>
    </w:p>
    <w:p w:rsidR="00A402C7" w:rsidRDefault="00A402C7" w:rsidP="005F74AA">
      <w:pPr>
        <w:rPr>
          <w:rFonts w:ascii="Times New Roman" w:hAnsi="Times New Roman"/>
          <w:bCs/>
          <w:iCs/>
          <w:sz w:val="24"/>
        </w:rPr>
      </w:pPr>
    </w:p>
    <w:p w:rsidR="00A402C7" w:rsidRDefault="00A402C7" w:rsidP="005F74AA">
      <w:pPr>
        <w:rPr>
          <w:rFonts w:ascii="Times New Roman" w:hAnsi="Times New Roman"/>
          <w:sz w:val="24"/>
        </w:rPr>
        <w:sectPr w:rsidR="00A402C7" w:rsidSect="005F01AD">
          <w:endnotePr>
            <w:numFmt w:val="decimal"/>
            <w:numRestart w:val="eachSect"/>
          </w:endnotePr>
          <w:pgSz w:w="12240" w:h="15840"/>
          <w:pgMar w:top="1440" w:right="1440" w:bottom="1440" w:left="1440" w:header="720" w:footer="720" w:gutter="0"/>
          <w:pgNumType w:chapStyle="9"/>
          <w:cols w:space="720"/>
          <w:docGrid w:linePitch="360"/>
        </w:sectPr>
      </w:pPr>
    </w:p>
    <w:p w:rsidR="00A402C7" w:rsidRPr="0004522E" w:rsidRDefault="00A402C7" w:rsidP="0004522E">
      <w:pPr>
        <w:pBdr>
          <w:bottom w:val="single" w:sz="6" w:space="1" w:color="auto"/>
        </w:pBdr>
        <w:spacing w:line="276" w:lineRule="auto"/>
        <w:jc w:val="center"/>
        <w:rPr>
          <w:rFonts w:cs="Arial"/>
          <w:b/>
          <w:szCs w:val="20"/>
        </w:rPr>
      </w:pPr>
      <w:r w:rsidRPr="0004522E">
        <w:rPr>
          <w:rFonts w:cs="Arial"/>
          <w:b/>
          <w:szCs w:val="20"/>
        </w:rPr>
        <w:t>Constructed Wetlands</w:t>
      </w:r>
    </w:p>
    <w:p w:rsidR="00A402C7" w:rsidRPr="0004522E" w:rsidRDefault="00A402C7" w:rsidP="0004522E">
      <w:pPr>
        <w:spacing w:line="276" w:lineRule="auto"/>
        <w:rPr>
          <w:rFonts w:cs="Arial"/>
          <w:b/>
          <w:szCs w:val="20"/>
        </w:rPr>
      </w:pPr>
    </w:p>
    <w:p w:rsidR="00A402C7" w:rsidRPr="0004522E" w:rsidRDefault="00A402C7" w:rsidP="0004522E">
      <w:pPr>
        <w:spacing w:before="240" w:line="276" w:lineRule="auto"/>
        <w:rPr>
          <w:rFonts w:cs="Arial"/>
          <w:szCs w:val="20"/>
        </w:rPr>
      </w:pPr>
      <w:r w:rsidRPr="0004522E">
        <w:rPr>
          <w:rFonts w:cs="Arial"/>
          <w:szCs w:val="20"/>
        </w:rPr>
        <w:t>Constructed wetlands (CWs) are engineered systems that have been designed and constructed to utilize the natural processes involving wetland vegetation, soils, and the associated microbial population to treat a variety of wastewaters. Constructed wetlands are designed to mimic natural processes and serve as an alternative stormwater treatment process. Examples of constructed wetlands include shallow wetlands, extended detention wetlands, pond/wetland, and pocket wetland.</w:t>
      </w:r>
      <w:r w:rsidRPr="0004522E">
        <w:rPr>
          <w:rStyle w:val="EndnoteReference"/>
          <w:rFonts w:cs="Arial"/>
          <w:szCs w:val="20"/>
        </w:rPr>
        <w:endnoteReference w:id="99"/>
      </w:r>
      <w:r w:rsidRPr="0004522E">
        <w:rPr>
          <w:rFonts w:cs="Arial"/>
          <w:noProof/>
          <w:szCs w:val="20"/>
        </w:rPr>
        <w:t xml:space="preserve"> </w:t>
      </w:r>
      <w:r w:rsidRPr="0004522E">
        <w:rPr>
          <w:rFonts w:cs="Arial"/>
          <w:szCs w:val="20"/>
        </w:rPr>
        <w:t>CWs may be classified according to the life form of the dominating vegetation into systems with free-floating, rooted emergent and submerged macrophytes. Further division could be made according to the wetland hydrology (free water surface and subsurface systems); subsurface flow CWs could be classified according to the flow direction (horizontal and vertical flow)</w:t>
      </w:r>
      <w:r w:rsidRPr="0004522E">
        <w:rPr>
          <w:rStyle w:val="EndnoteReference"/>
          <w:rFonts w:cs="Arial"/>
          <w:szCs w:val="20"/>
        </w:rPr>
        <w:endnoteReference w:id="100"/>
      </w:r>
      <w:r w:rsidRPr="0004522E">
        <w:rPr>
          <w:rFonts w:cs="Arial"/>
          <w:szCs w:val="20"/>
        </w:rPr>
        <w:t xml:space="preserve">. </w:t>
      </w:r>
    </w:p>
    <w:p w:rsidR="00A402C7" w:rsidRPr="0004522E" w:rsidRDefault="00726551" w:rsidP="0004522E">
      <w:pPr>
        <w:spacing w:before="240" w:line="276" w:lineRule="auto"/>
        <w:rPr>
          <w:rFonts w:cs="Arial"/>
          <w:b/>
          <w:szCs w:val="20"/>
        </w:rPr>
      </w:pPr>
      <w:r>
        <w:rPr>
          <w:rFonts w:cs="Arial"/>
          <w:noProof/>
          <w:szCs w:val="20"/>
        </w:rPr>
        <w:drawing>
          <wp:anchor distT="0" distB="0" distL="114300" distR="114300" simplePos="0" relativeHeight="251670016" behindDoc="0" locked="0" layoutInCell="1" allowOverlap="1">
            <wp:simplePos x="0" y="0"/>
            <wp:positionH relativeFrom="margin">
              <wp:posOffset>2542540</wp:posOffset>
            </wp:positionH>
            <wp:positionV relativeFrom="margin">
              <wp:posOffset>2072005</wp:posOffset>
            </wp:positionV>
            <wp:extent cx="3400425" cy="2352675"/>
            <wp:effectExtent l="19050" t="0" r="9525" b="0"/>
            <wp:wrapSquare wrapText="bothSides"/>
            <wp:docPr id="327" name="Picture 4" descr="http://www.fxbrowne.com/html/FXB%20Wetland%20CS/Constructed%20wetland/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xbrowne.com/html/FXB%20Wetland%20CS/Constructed%20wetland/IMG_0086.JPG"/>
                    <pic:cNvPicPr>
                      <a:picLocks noChangeAspect="1" noChangeArrowheads="1"/>
                    </pic:cNvPicPr>
                  </pic:nvPicPr>
                  <pic:blipFill>
                    <a:blip r:embed="rId147"/>
                    <a:srcRect/>
                    <a:stretch>
                      <a:fillRect/>
                    </a:stretch>
                  </pic:blipFill>
                  <pic:spPr bwMode="auto">
                    <a:xfrm>
                      <a:off x="0" y="0"/>
                      <a:ext cx="3400425" cy="2352675"/>
                    </a:xfrm>
                    <a:prstGeom prst="rect">
                      <a:avLst/>
                    </a:prstGeom>
                    <a:noFill/>
                    <a:ln w="9525">
                      <a:noFill/>
                      <a:miter lim="800000"/>
                      <a:headEnd/>
                      <a:tailEnd/>
                    </a:ln>
                  </pic:spPr>
                </pic:pic>
              </a:graphicData>
            </a:graphic>
          </wp:anchor>
        </w:drawing>
      </w:r>
      <w:r w:rsidR="00A402C7" w:rsidRPr="0004522E">
        <w:rPr>
          <w:rFonts w:cs="Arial"/>
          <w:b/>
          <w:szCs w:val="20"/>
        </w:rPr>
        <w:t>Construction</w:t>
      </w:r>
    </w:p>
    <w:p w:rsidR="00A402C7" w:rsidRPr="0004522E" w:rsidRDefault="00A402C7" w:rsidP="0004522E">
      <w:pPr>
        <w:spacing w:before="240" w:line="276" w:lineRule="auto"/>
        <w:rPr>
          <w:rFonts w:cs="Arial"/>
          <w:szCs w:val="20"/>
        </w:rPr>
      </w:pPr>
      <w:r w:rsidRPr="0004522E">
        <w:rPr>
          <w:rFonts w:cs="Arial"/>
          <w:szCs w:val="20"/>
        </w:rPr>
        <w:t>Constructed wetlands consist of a basin that contains water, a substrate, and, most commonly, vascular plants.</w:t>
      </w:r>
      <w:r w:rsidRPr="0004522E">
        <w:rPr>
          <w:rStyle w:val="EndnoteReference"/>
          <w:rFonts w:cs="Arial"/>
          <w:szCs w:val="20"/>
        </w:rPr>
        <w:endnoteReference w:id="101"/>
      </w:r>
      <w:r w:rsidRPr="0004522E">
        <w:rPr>
          <w:rFonts w:cs="Arial"/>
          <w:szCs w:val="20"/>
        </w:rPr>
        <w:t xml:space="preserve"> Substrates used to construct wetlands may include soil, sand, gravel, rock, and organic materials such as compost.</w:t>
      </w:r>
      <w:r w:rsidRPr="0004522E">
        <w:rPr>
          <w:rStyle w:val="EndnoteReference"/>
          <w:rFonts w:cs="Arial"/>
          <w:szCs w:val="20"/>
        </w:rPr>
        <w:endnoteReference w:id="102"/>
      </w:r>
      <w:r w:rsidRPr="0004522E">
        <w:rPr>
          <w:rFonts w:cs="Arial"/>
          <w:szCs w:val="20"/>
        </w:rPr>
        <w:t xml:space="preserve"> Constructed wetlands may be used in conjunction with other BMP components such as a sediment forebay, buffer strip, micropool, berms, and bottom drain pipe.</w:t>
      </w:r>
      <w:r w:rsidRPr="0004522E">
        <w:rPr>
          <w:rStyle w:val="EndnoteReference"/>
          <w:rFonts w:cs="Arial"/>
          <w:szCs w:val="20"/>
        </w:rPr>
        <w:endnoteReference w:id="103"/>
      </w:r>
      <w:r w:rsidRPr="0004522E">
        <w:rPr>
          <w:rFonts w:cs="Arial"/>
          <w:szCs w:val="20"/>
          <w:vertAlign w:val="superscript"/>
        </w:rPr>
        <w:t>,</w:t>
      </w:r>
      <w:r w:rsidRPr="0004522E">
        <w:rPr>
          <w:rStyle w:val="EndnoteReference"/>
          <w:rFonts w:cs="Arial"/>
          <w:szCs w:val="20"/>
        </w:rPr>
        <w:endnoteReference w:id="104"/>
      </w:r>
      <w:r w:rsidRPr="0004522E">
        <w:rPr>
          <w:rFonts w:cs="Arial"/>
          <w:noProof/>
          <w:szCs w:val="20"/>
        </w:rPr>
        <w:t xml:space="preserve"> </w:t>
      </w:r>
    </w:p>
    <w:p w:rsidR="00A402C7" w:rsidRPr="0004522E" w:rsidRDefault="00430DFB" w:rsidP="0004522E">
      <w:pPr>
        <w:pStyle w:val="AppendixDHeading"/>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1040" behindDoc="0" locked="0" layoutInCell="1" allowOverlap="1">
                <wp:simplePos x="0" y="0"/>
                <wp:positionH relativeFrom="column">
                  <wp:posOffset>2514600</wp:posOffset>
                </wp:positionH>
                <wp:positionV relativeFrom="paragraph">
                  <wp:posOffset>92075</wp:posOffset>
                </wp:positionV>
                <wp:extent cx="3495675" cy="209550"/>
                <wp:effectExtent l="0" t="0" r="0" b="3175"/>
                <wp:wrapSquare wrapText="bothSides"/>
                <wp:docPr id="1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9D3" w:rsidRPr="0004522E" w:rsidRDefault="00E659D3" w:rsidP="0004522E">
                            <w:pPr>
                              <w:jc w:val="center"/>
                              <w:rPr>
                                <w:rFonts w:cs="Arial"/>
                                <w:i/>
                                <w:sz w:val="14"/>
                                <w:szCs w:val="14"/>
                              </w:rPr>
                            </w:pPr>
                            <w:r w:rsidRPr="0004522E">
                              <w:rPr>
                                <w:rFonts w:cs="Arial"/>
                                <w:sz w:val="14"/>
                                <w:szCs w:val="14"/>
                              </w:rPr>
                              <w:t xml:space="preserve">Constructed Wetland Designed by </w:t>
                            </w:r>
                            <w:r w:rsidRPr="0004522E">
                              <w:rPr>
                                <w:rFonts w:cs="Arial"/>
                                <w:i/>
                                <w:sz w:val="14"/>
                                <w:szCs w:val="14"/>
                              </w:rPr>
                              <w:t>F.X. Browne,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98" type="#_x0000_t202" style="position:absolute;margin-left:198pt;margin-top:7.25pt;width:275.25pt;height:1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UfiQIAABo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" stroked="f">
                <v:textbox>
                  <w:txbxContent>
                    <w:p w:rsidR="00E659D3" w:rsidRPr="0004522E" w:rsidRDefault="00E659D3" w:rsidP="0004522E">
                      <w:pPr>
                        <w:jc w:val="center"/>
                        <w:rPr>
                          <w:rFonts w:cs="Arial"/>
                          <w:i/>
                          <w:sz w:val="14"/>
                          <w:szCs w:val="14"/>
                        </w:rPr>
                      </w:pPr>
                      <w:r w:rsidRPr="0004522E">
                        <w:rPr>
                          <w:rFonts w:cs="Arial"/>
                          <w:sz w:val="14"/>
                          <w:szCs w:val="14"/>
                        </w:rPr>
                        <w:t xml:space="preserve">Constructed Wetland Designed by </w:t>
                      </w:r>
                      <w:r w:rsidRPr="0004522E">
                        <w:rPr>
                          <w:rFonts w:cs="Arial"/>
                          <w:i/>
                          <w:sz w:val="14"/>
                          <w:szCs w:val="14"/>
                        </w:rPr>
                        <w:t>F.X. Browne, Inc.</w:t>
                      </w:r>
                    </w:p>
                  </w:txbxContent>
                </v:textbox>
                <w10:wrap type="square"/>
              </v:shape>
            </w:pict>
          </mc:Fallback>
        </mc:AlternateContent>
      </w:r>
      <w:r w:rsidR="00A402C7" w:rsidRPr="0004522E">
        <w:rPr>
          <w:rFonts w:ascii="Arial" w:hAnsi="Arial" w:cs="Arial"/>
          <w:sz w:val="20"/>
          <w:szCs w:val="20"/>
        </w:rPr>
        <w:t>Benefits</w:t>
      </w:r>
    </w:p>
    <w:p w:rsidR="00A402C7" w:rsidRPr="0004522E" w:rsidRDefault="00A402C7" w:rsidP="0004522E">
      <w:pPr>
        <w:spacing w:line="276" w:lineRule="auto"/>
        <w:rPr>
          <w:rFonts w:cs="Arial"/>
          <w:szCs w:val="20"/>
        </w:rPr>
      </w:pPr>
      <w:r w:rsidRPr="0004522E">
        <w:rPr>
          <w:rFonts w:cs="Arial"/>
          <w:szCs w:val="20"/>
        </w:rPr>
        <w:t>Constructed wetlands have considerable ecologic and aesthetic benefits. Under the appropriate conditions wetlands can provide water quality improvement, flood storage, cycling of nutrients and other materials, reduction in pollutant loads, habitat for fish and wildlife, and passive recreation, such as bird watching and photography.</w:t>
      </w:r>
      <w:r w:rsidRPr="0004522E">
        <w:rPr>
          <w:rStyle w:val="EndnoteReference"/>
          <w:rFonts w:cs="Arial"/>
          <w:szCs w:val="20"/>
        </w:rPr>
        <w:endnoteReference w:id="105"/>
      </w:r>
    </w:p>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Limitations</w:t>
      </w:r>
    </w:p>
    <w:p w:rsidR="00A402C7" w:rsidRPr="0004522E" w:rsidRDefault="00A402C7" w:rsidP="0004522E">
      <w:pPr>
        <w:spacing w:line="276" w:lineRule="auto"/>
        <w:rPr>
          <w:rFonts w:cs="Arial"/>
          <w:szCs w:val="20"/>
        </w:rPr>
      </w:pPr>
      <w:r w:rsidRPr="0004522E">
        <w:rPr>
          <w:rFonts w:cs="Arial"/>
          <w:szCs w:val="20"/>
        </w:rPr>
        <w:t>Constructed wetlands require a relatively large amount of space and an adequate source of inflow to maintain a permanent water surface. Therefore constructed wetlands may have limited applicability in urbanized, or ultra urbanized areas where the required amount of space is unavailable.</w:t>
      </w:r>
      <w:r w:rsidRPr="0004522E">
        <w:rPr>
          <w:rStyle w:val="EndnoteReference"/>
          <w:rFonts w:cs="Arial"/>
          <w:szCs w:val="20"/>
        </w:rPr>
        <w:endnoteReference w:id="106"/>
      </w:r>
      <w:r w:rsidRPr="0004522E">
        <w:rPr>
          <w:rFonts w:cs="Arial"/>
          <w:szCs w:val="20"/>
          <w:vertAlign w:val="superscript"/>
        </w:rPr>
        <w:t>,</w:t>
      </w:r>
      <w:r w:rsidRPr="0004522E">
        <w:rPr>
          <w:rStyle w:val="EndnoteReference"/>
          <w:rFonts w:cs="Arial"/>
          <w:szCs w:val="20"/>
        </w:rPr>
        <w:endnoteReference w:id="107"/>
      </w:r>
      <w:r w:rsidRPr="0004522E">
        <w:rPr>
          <w:rFonts w:cs="Arial"/>
          <w:szCs w:val="20"/>
          <w:vertAlign w:val="superscript"/>
        </w:rPr>
        <w:t xml:space="preserve"> </w:t>
      </w:r>
      <w:r w:rsidRPr="0004522E">
        <w:rPr>
          <w:rFonts w:cs="Arial"/>
          <w:szCs w:val="20"/>
        </w:rPr>
        <w:t>Further, constructed wetlands may be unsuitable in arid and semi-arid climates where it may be difficult to maintain a permanent pool</w:t>
      </w:r>
      <w:r w:rsidRPr="0004522E">
        <w:rPr>
          <w:rStyle w:val="EndnoteReference"/>
          <w:rFonts w:cs="Arial"/>
          <w:szCs w:val="20"/>
        </w:rPr>
        <w:endnoteReference w:id="108"/>
      </w:r>
      <w:r w:rsidRPr="0004522E">
        <w:rPr>
          <w:rFonts w:cs="Arial"/>
          <w:szCs w:val="20"/>
        </w:rPr>
        <w:t xml:space="preserve"> necessary for normal operation of the system.  </w:t>
      </w:r>
    </w:p>
    <w:p w:rsidR="00F906A0" w:rsidRPr="0004522E" w:rsidRDefault="00F906A0" w:rsidP="0004522E">
      <w:pPr>
        <w:spacing w:line="276" w:lineRule="auto"/>
        <w:rPr>
          <w:rFonts w:cs="Arial"/>
          <w:szCs w:val="20"/>
        </w:rPr>
      </w:pPr>
    </w:p>
    <w:p w:rsidR="00A402C7" w:rsidRPr="0004522E" w:rsidRDefault="00A402C7" w:rsidP="0004522E">
      <w:pPr>
        <w:spacing w:line="276" w:lineRule="auto"/>
        <w:rPr>
          <w:rFonts w:cs="Arial"/>
          <w:szCs w:val="20"/>
        </w:rPr>
      </w:pPr>
      <w:r w:rsidRPr="0004522E">
        <w:rPr>
          <w:rFonts w:cs="Arial"/>
          <w:b/>
          <w:szCs w:val="20"/>
        </w:rPr>
        <w:t xml:space="preserve">Climate Considerations </w:t>
      </w:r>
      <w:r w:rsidRPr="0004522E">
        <w:rPr>
          <w:rFonts w:cs="Arial"/>
          <w:b/>
          <w:szCs w:val="20"/>
        </w:rPr>
        <w:br/>
      </w:r>
      <w:r w:rsidRPr="0004522E">
        <w:rPr>
          <w:rFonts w:cs="Arial"/>
          <w:szCs w:val="20"/>
        </w:rPr>
        <w:t>Constructed wetlands, if planted properly, are designed to tolerate most local conditions. However, constructed wetlands require a minimum amount of water, and while they can tolerate temporary droughts, they cannot withstand complete dryness. Freezing of constructed wetland systems is generally not problematic in temperate regions since microbial activity usually generates enough heat to keep the subsurface layers from freezing.</w:t>
      </w:r>
      <w:r w:rsidRPr="0004522E">
        <w:rPr>
          <w:rStyle w:val="EndnoteReference"/>
          <w:rFonts w:cs="Arial"/>
          <w:szCs w:val="20"/>
        </w:rPr>
        <w:endnoteReference w:id="109"/>
      </w:r>
    </w:p>
    <w:p w:rsidR="00A402C7" w:rsidRPr="0004522E" w:rsidRDefault="00726551" w:rsidP="0004522E">
      <w:pPr>
        <w:pStyle w:val="AppendixDHeading"/>
        <w:spacing w:line="276" w:lineRule="auto"/>
        <w:rPr>
          <w:rFonts w:ascii="Arial" w:hAnsi="Arial" w:cs="Arial"/>
          <w:sz w:val="20"/>
          <w:szCs w:val="20"/>
        </w:rPr>
      </w:pPr>
      <w:r>
        <w:rPr>
          <w:rFonts w:ascii="Arial" w:hAnsi="Arial" w:cs="Arial"/>
          <w:noProof/>
          <w:sz w:val="20"/>
          <w:szCs w:val="20"/>
        </w:rPr>
        <w:drawing>
          <wp:anchor distT="0" distB="0" distL="114300" distR="114300" simplePos="0" relativeHeight="251667968" behindDoc="0" locked="0" layoutInCell="1" allowOverlap="1">
            <wp:simplePos x="0" y="0"/>
            <wp:positionH relativeFrom="margin">
              <wp:align>left</wp:align>
            </wp:positionH>
            <wp:positionV relativeFrom="margin">
              <wp:align>top</wp:align>
            </wp:positionV>
            <wp:extent cx="3181350" cy="2533650"/>
            <wp:effectExtent l="19050" t="0" r="0" b="0"/>
            <wp:wrapSquare wrapText="bothSides"/>
            <wp:docPr id="326" name="Picture 1" descr="C:\Users\ryan.fleeman\AppData\Local\Microsoft\Windows\Temporary Internet Files\Content.Outlook\4788DPCX\Wetland July 2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an.fleeman\AppData\Local\Microsoft\Windows\Temporary Internet Files\Content.Outlook\4788DPCX\Wetland July 2005 (3).JPG"/>
                    <pic:cNvPicPr>
                      <a:picLocks noChangeAspect="1" noChangeArrowheads="1"/>
                    </pic:cNvPicPr>
                  </pic:nvPicPr>
                  <pic:blipFill>
                    <a:blip r:embed="rId148"/>
                    <a:srcRect/>
                    <a:stretch>
                      <a:fillRect/>
                    </a:stretch>
                  </pic:blipFill>
                  <pic:spPr bwMode="auto">
                    <a:xfrm>
                      <a:off x="0" y="0"/>
                      <a:ext cx="3181350" cy="2533650"/>
                    </a:xfrm>
                    <a:prstGeom prst="rect">
                      <a:avLst/>
                    </a:prstGeom>
                    <a:noFill/>
                    <a:ln w="9525">
                      <a:noFill/>
                      <a:miter lim="800000"/>
                      <a:headEnd/>
                      <a:tailEnd/>
                    </a:ln>
                  </pic:spPr>
                </pic:pic>
              </a:graphicData>
            </a:graphic>
          </wp:anchor>
        </w:drawing>
      </w:r>
      <w:r w:rsidR="00A402C7" w:rsidRPr="0004522E">
        <w:rPr>
          <w:rFonts w:ascii="Arial" w:hAnsi="Arial" w:cs="Arial"/>
          <w:sz w:val="20"/>
          <w:szCs w:val="20"/>
        </w:rPr>
        <w:t>CSO Impact</w:t>
      </w:r>
    </w:p>
    <w:p w:rsidR="00A402C7" w:rsidRPr="0004522E" w:rsidRDefault="00A402C7" w:rsidP="0004522E">
      <w:pPr>
        <w:spacing w:line="276" w:lineRule="auto"/>
        <w:rPr>
          <w:rFonts w:cs="Arial"/>
          <w:szCs w:val="20"/>
        </w:rPr>
      </w:pPr>
      <w:r w:rsidRPr="0004522E">
        <w:rPr>
          <w:rFonts w:cs="Arial"/>
          <w:szCs w:val="20"/>
        </w:rPr>
        <w:t xml:space="preserve">A study examining the efficacy of constructed wetlands in pesticide removal from tailwaters in the Central Valley, CA, </w:t>
      </w:r>
      <w:r w:rsidRPr="0004522E">
        <w:rPr>
          <w:rStyle w:val="apple-style-span"/>
          <w:rFonts w:cs="Arial"/>
          <w:color w:val="000000"/>
          <w:szCs w:val="20"/>
        </w:rPr>
        <w:t>found that constructed wetlands reduced the flow volume by 68 to 87 percent, through percolation and evapotranspiration</w:t>
      </w:r>
      <w:r w:rsidRPr="0004522E">
        <w:rPr>
          <w:rFonts w:cs="Arial"/>
          <w:szCs w:val="20"/>
        </w:rPr>
        <w:t xml:space="preserve"> in addition to providing pollutant removal.</w:t>
      </w:r>
      <w:r w:rsidRPr="0004522E">
        <w:rPr>
          <w:rStyle w:val="EndnoteReference"/>
          <w:rFonts w:cs="Arial"/>
          <w:szCs w:val="20"/>
        </w:rPr>
        <w:endnoteReference w:id="110"/>
      </w:r>
      <w:r w:rsidRPr="0004522E">
        <w:rPr>
          <w:rFonts w:cs="Arial"/>
          <w:szCs w:val="20"/>
        </w:rPr>
        <w:t xml:space="preserve"> Reductions in flow volume to the treatment plants may ultimately decrease the intensity and frequency of CSOs.</w:t>
      </w:r>
      <w:r w:rsidRPr="0004522E">
        <w:rPr>
          <w:rFonts w:cs="Arial"/>
          <w:noProof/>
          <w:szCs w:val="20"/>
        </w:rPr>
        <w:t xml:space="preserve"> </w:t>
      </w:r>
    </w:p>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Maintenance</w:t>
      </w:r>
    </w:p>
    <w:p w:rsidR="00A402C7" w:rsidRPr="0004522E" w:rsidRDefault="00430DFB" w:rsidP="0004522E">
      <w:pPr>
        <w:spacing w:line="276" w:lineRule="auto"/>
        <w:rPr>
          <w:rFonts w:cs="Arial"/>
          <w:b/>
          <w:szCs w:val="20"/>
        </w:rPr>
      </w:pPr>
      <w:r>
        <w:rPr>
          <w:rFonts w:cs="Arial"/>
          <w:noProof/>
          <w:szCs w:val="20"/>
        </w:rPr>
        <mc:AlternateContent>
          <mc:Choice Requires="wps">
            <w:drawing>
              <wp:anchor distT="0" distB="0" distL="114300" distR="114300" simplePos="0" relativeHeight="251668992" behindDoc="0" locked="0" layoutInCell="1" allowOverlap="1">
                <wp:simplePos x="0" y="0"/>
                <wp:positionH relativeFrom="column">
                  <wp:posOffset>-3314700</wp:posOffset>
                </wp:positionH>
                <wp:positionV relativeFrom="paragraph">
                  <wp:posOffset>67310</wp:posOffset>
                </wp:positionV>
                <wp:extent cx="3200400" cy="361950"/>
                <wp:effectExtent l="0" t="635" r="0" b="0"/>
                <wp:wrapNone/>
                <wp:docPr id="1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9D3" w:rsidRPr="0004522E" w:rsidRDefault="00E659D3" w:rsidP="0004522E">
                            <w:pPr>
                              <w:jc w:val="center"/>
                              <w:rPr>
                                <w:rFonts w:cs="Arial"/>
                                <w:i/>
                                <w:sz w:val="14"/>
                                <w:szCs w:val="14"/>
                              </w:rPr>
                            </w:pPr>
                            <w:r w:rsidRPr="0004522E">
                              <w:rPr>
                                <w:rFonts w:cs="Arial"/>
                                <w:sz w:val="14"/>
                                <w:szCs w:val="14"/>
                              </w:rPr>
                              <w:t xml:space="preserve">Courtesy of: </w:t>
                            </w:r>
                            <w:r w:rsidRPr="0004522E">
                              <w:rPr>
                                <w:rFonts w:cs="Arial"/>
                                <w:i/>
                                <w:sz w:val="14"/>
                                <w:szCs w:val="14"/>
                              </w:rPr>
                              <w:t>Aleksandra Drizo, PhD; Associate Research Professor; University of Vermont.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99" type="#_x0000_t202" style="position:absolute;margin-left:-261pt;margin-top:5.3pt;width:252pt;height:2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sSiAIAABo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" stroked="f">
                <v:textbox>
                  <w:txbxContent>
                    <w:p w:rsidR="00E659D3" w:rsidRPr="0004522E" w:rsidRDefault="00E659D3" w:rsidP="0004522E">
                      <w:pPr>
                        <w:jc w:val="center"/>
                        <w:rPr>
                          <w:rFonts w:cs="Arial"/>
                          <w:i/>
                          <w:sz w:val="14"/>
                          <w:szCs w:val="14"/>
                        </w:rPr>
                      </w:pPr>
                      <w:r w:rsidRPr="0004522E">
                        <w:rPr>
                          <w:rFonts w:cs="Arial"/>
                          <w:sz w:val="14"/>
                          <w:szCs w:val="14"/>
                        </w:rPr>
                        <w:t xml:space="preserve">Courtesy of: </w:t>
                      </w:r>
                      <w:r w:rsidRPr="0004522E">
                        <w:rPr>
                          <w:rFonts w:cs="Arial"/>
                          <w:i/>
                          <w:sz w:val="14"/>
                          <w:szCs w:val="14"/>
                        </w:rPr>
                        <w:t>Aleksandra Drizo, PhD; Associate Research Professor; University of Vermont.</w:t>
                      </w:r>
                    </w:p>
                  </w:txbxContent>
                </v:textbox>
              </v:shape>
            </w:pict>
          </mc:Fallback>
        </mc:AlternateContent>
      </w:r>
      <w:r w:rsidR="00A402C7" w:rsidRPr="0004522E">
        <w:rPr>
          <w:rFonts w:cs="Arial"/>
          <w:szCs w:val="20"/>
        </w:rPr>
        <w:t>Constructed wetlands require maintenance, particularly during the first two years after construction. During the first growing season, vegetation should be inspected every two to three weeks. During the first two years, constructed wetlands should be inspected at least four times a year and after major storms (greater than two inches in 24 hours). Sediment should be removed every three to seven years before sediment occupies 50 percent of the forebay. Over the life span constructed wetlands should be inspected semiannually and after major storms as well as after rapid ice breakup. Undesirable species should be removed and desirable replacements planted if necessary. Once established, properly designed and installed constructed wetlands should require little maintenance.</w:t>
      </w:r>
      <w:r w:rsidR="00A402C7" w:rsidRPr="0004522E">
        <w:rPr>
          <w:rStyle w:val="EndnoteReference"/>
          <w:rFonts w:cs="Arial"/>
          <w:szCs w:val="20"/>
        </w:rPr>
        <w:endnoteReference w:id="111"/>
      </w:r>
    </w:p>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Costs</w:t>
      </w:r>
    </w:p>
    <w:p w:rsidR="00A402C7" w:rsidRPr="0004522E" w:rsidRDefault="00A402C7" w:rsidP="0004522E">
      <w:pPr>
        <w:spacing w:line="276" w:lineRule="auto"/>
        <w:rPr>
          <w:rFonts w:cs="Arial"/>
          <w:szCs w:val="20"/>
        </w:rPr>
      </w:pPr>
      <w:r w:rsidRPr="0004522E">
        <w:rPr>
          <w:rFonts w:cs="Arial"/>
          <w:szCs w:val="20"/>
        </w:rPr>
        <w:t>The construction costs of constructed wetlands can vary greatly depending on the configuration, location, and site-specific conditions. Typical construction costs (January 2010 dollars) range from $0.89 to $1.86 per cubic foot of water stored in the facility.</w:t>
      </w:r>
      <w:r w:rsidRPr="0004522E">
        <w:rPr>
          <w:rStyle w:val="EndnoteReference"/>
          <w:rFonts w:cs="Arial"/>
          <w:szCs w:val="20"/>
        </w:rPr>
        <w:endnoteReference w:id="112"/>
      </w:r>
      <w:r w:rsidRPr="0004522E">
        <w:rPr>
          <w:rFonts w:cs="Arial"/>
          <w:szCs w:val="20"/>
        </w:rPr>
        <w:t xml:space="preserve"> Costs are generally most dependent on the amount of earthwork and the planting. Annual operation and maintenance costs have been reported to be approximately 2 percent to 5 percent of the capital costs, or approximately $0.09 per cubic foot of storage provided.</w:t>
      </w:r>
      <w:r w:rsidRPr="0004522E">
        <w:rPr>
          <w:rStyle w:val="EndnoteReference"/>
          <w:rFonts w:cs="Arial"/>
          <w:szCs w:val="20"/>
        </w:rPr>
        <w:endnoteReference w:id="113"/>
      </w:r>
    </w:p>
    <w:p w:rsidR="00A402C7" w:rsidRDefault="00A402C7" w:rsidP="005F74AA">
      <w:pPr>
        <w:rPr>
          <w:rFonts w:ascii="Times New Roman" w:hAnsi="Times New Roman"/>
          <w:sz w:val="24"/>
        </w:rPr>
        <w:sectPr w:rsidR="00A402C7" w:rsidSect="005F01AD">
          <w:endnotePr>
            <w:numFmt w:val="decimal"/>
            <w:numRestart w:val="eachSect"/>
          </w:endnotePr>
          <w:pgSz w:w="12240" w:h="15840"/>
          <w:pgMar w:top="1440" w:right="1440" w:bottom="1440" w:left="1440" w:header="720" w:footer="720" w:gutter="0"/>
          <w:pgNumType w:chapStyle="9"/>
          <w:cols w:space="720"/>
          <w:docGrid w:linePitch="360"/>
        </w:sectPr>
      </w:pPr>
    </w:p>
    <w:p w:rsidR="00A402C7" w:rsidRPr="0004522E" w:rsidRDefault="00A402C7" w:rsidP="0004522E">
      <w:pPr>
        <w:pBdr>
          <w:bottom w:val="single" w:sz="6" w:space="1" w:color="auto"/>
        </w:pBdr>
        <w:spacing w:line="276" w:lineRule="auto"/>
        <w:jc w:val="center"/>
        <w:rPr>
          <w:rFonts w:cs="Arial"/>
          <w:b/>
          <w:color w:val="000000"/>
          <w:szCs w:val="20"/>
        </w:rPr>
      </w:pPr>
      <w:r w:rsidRPr="0004522E">
        <w:rPr>
          <w:rFonts w:cs="Arial"/>
          <w:b/>
          <w:color w:val="000000"/>
          <w:szCs w:val="20"/>
        </w:rPr>
        <w:t>Tree Planting</w:t>
      </w:r>
    </w:p>
    <w:p w:rsidR="00A402C7" w:rsidRPr="0004522E" w:rsidRDefault="00A402C7" w:rsidP="0004522E">
      <w:pPr>
        <w:spacing w:before="240" w:line="276" w:lineRule="auto"/>
        <w:rPr>
          <w:rFonts w:cs="Arial"/>
          <w:b/>
          <w:color w:val="000000"/>
          <w:szCs w:val="20"/>
        </w:rPr>
      </w:pPr>
    </w:p>
    <w:p w:rsidR="00A402C7" w:rsidRPr="0004522E" w:rsidRDefault="00726551" w:rsidP="0004522E">
      <w:pPr>
        <w:spacing w:line="276" w:lineRule="auto"/>
        <w:contextualSpacing/>
        <w:rPr>
          <w:rFonts w:cs="Arial"/>
          <w:b/>
          <w:color w:val="000000"/>
          <w:szCs w:val="20"/>
        </w:rPr>
      </w:pPr>
      <w:r>
        <w:rPr>
          <w:rFonts w:cs="Arial"/>
          <w:noProof/>
          <w:color w:val="000000"/>
          <w:szCs w:val="20"/>
        </w:rPr>
        <w:drawing>
          <wp:anchor distT="0" distB="0" distL="114300" distR="114300" simplePos="0" relativeHeight="251672064" behindDoc="0" locked="0" layoutInCell="1" allowOverlap="1">
            <wp:simplePos x="0" y="0"/>
            <wp:positionH relativeFrom="margin">
              <wp:posOffset>3350895</wp:posOffset>
            </wp:positionH>
            <wp:positionV relativeFrom="margin">
              <wp:posOffset>573405</wp:posOffset>
            </wp:positionV>
            <wp:extent cx="2592705" cy="1969770"/>
            <wp:effectExtent l="19050" t="0" r="0" b="0"/>
            <wp:wrapSquare wrapText="bothSides"/>
            <wp:docPr id="325" name="Picture 42" descr="Pier_A_Hoboken_Trees_PICP_Fergu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er_A_Hoboken_Trees_PICP_Ferguson"/>
                    <pic:cNvPicPr>
                      <a:picLocks noChangeAspect="1" noChangeArrowheads="1"/>
                    </pic:cNvPicPr>
                  </pic:nvPicPr>
                  <pic:blipFill>
                    <a:blip r:embed="rId149"/>
                    <a:srcRect/>
                    <a:stretch>
                      <a:fillRect/>
                    </a:stretch>
                  </pic:blipFill>
                  <pic:spPr bwMode="auto">
                    <a:xfrm>
                      <a:off x="0" y="0"/>
                      <a:ext cx="2592705" cy="1969770"/>
                    </a:xfrm>
                    <a:prstGeom prst="rect">
                      <a:avLst/>
                    </a:prstGeom>
                    <a:noFill/>
                    <a:ln w="9525">
                      <a:noFill/>
                      <a:miter lim="800000"/>
                      <a:headEnd/>
                      <a:tailEnd/>
                    </a:ln>
                  </pic:spPr>
                </pic:pic>
              </a:graphicData>
            </a:graphic>
          </wp:anchor>
        </w:drawing>
      </w:r>
      <w:r w:rsidR="00430DFB">
        <w:rPr>
          <w:rFonts w:cs="Arial"/>
          <w:noProof/>
          <w:color w:val="000000"/>
          <w:szCs w:val="20"/>
        </w:rPr>
        <mc:AlternateContent>
          <mc:Choice Requires="wps">
            <w:drawing>
              <wp:anchor distT="0" distB="0" distL="114300" distR="114300" simplePos="0" relativeHeight="251675136" behindDoc="1" locked="0" layoutInCell="1" allowOverlap="1">
                <wp:simplePos x="0" y="0"/>
                <wp:positionH relativeFrom="column">
                  <wp:posOffset>5837555</wp:posOffset>
                </wp:positionH>
                <wp:positionV relativeFrom="paragraph">
                  <wp:posOffset>384175</wp:posOffset>
                </wp:positionV>
                <wp:extent cx="342900" cy="1474470"/>
                <wp:effectExtent l="0" t="3175" r="1270" b="0"/>
                <wp:wrapThrough wrapText="bothSides">
                  <wp:wrapPolygon edited="0">
                    <wp:start x="-600" y="0"/>
                    <wp:lineTo x="-600" y="21460"/>
                    <wp:lineTo x="21600" y="21460"/>
                    <wp:lineTo x="21600" y="0"/>
                    <wp:lineTo x="-600" y="0"/>
                  </wp:wrapPolygon>
                </wp:wrapThrough>
                <wp:docPr id="1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7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9D3" w:rsidRPr="001E46C4" w:rsidRDefault="00E659D3" w:rsidP="005F74AA"/>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100" type="#_x0000_t202" style="position:absolute;margin-left:459.65pt;margin-top:30.25pt;width:27pt;height:11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" stroked="f">
                <v:textbox style="layout-flow:vertical;mso-layout-flow-alt:bottom-to-top">
                  <w:txbxContent>
                    <w:p w:rsidR="00E659D3" w:rsidRPr="001E46C4" w:rsidRDefault="00E659D3" w:rsidP="005F74AA"/>
                  </w:txbxContent>
                </v:textbox>
                <w10:wrap type="through"/>
              </v:shape>
            </w:pict>
          </mc:Fallback>
        </mc:AlternateContent>
      </w:r>
      <w:r w:rsidR="00A402C7" w:rsidRPr="0004522E">
        <w:rPr>
          <w:rFonts w:cs="Arial"/>
          <w:color w:val="000000"/>
          <w:szCs w:val="20"/>
        </w:rPr>
        <w:t>Tree planting refers to the activity of planting trees either in concentrated groupings or, more likely the case in urbanized settings, in “tree boxes.” Tree planting is suited for all areas including landscaped areas, sidewalk cut-outs, parking lots, parks, shopping centers or other open or urbanized spaces.</w:t>
      </w:r>
      <w:r w:rsidR="00A402C7" w:rsidRPr="0004522E">
        <w:rPr>
          <w:rStyle w:val="EndnoteReference"/>
          <w:rFonts w:cs="Arial"/>
          <w:color w:val="000000"/>
          <w:szCs w:val="20"/>
        </w:rPr>
        <w:endnoteReference w:id="114"/>
      </w:r>
      <w:r w:rsidR="00A402C7" w:rsidRPr="0004522E">
        <w:rPr>
          <w:rFonts w:cs="Arial"/>
          <w:color w:val="000000"/>
          <w:szCs w:val="20"/>
        </w:rPr>
        <w:t xml:space="preserve"> </w:t>
      </w:r>
      <w:r w:rsidR="00A402C7" w:rsidRPr="0004522E">
        <w:rPr>
          <w:rStyle w:val="apple-style-span"/>
          <w:rFonts w:cs="Arial"/>
          <w:color w:val="000000"/>
          <w:szCs w:val="20"/>
        </w:rPr>
        <w:t xml:space="preserve">The purpose of tree planting </w:t>
      </w:r>
      <w:r w:rsidR="00A402C7" w:rsidRPr="0004522E">
        <w:rPr>
          <w:rFonts w:cs="Arial"/>
          <w:color w:val="000000"/>
          <w:szCs w:val="20"/>
        </w:rPr>
        <w:t>is to reduce stormwater runoff, increase nutrient uptake, and, where used in riparian zones, to provide bank stabilization.</w:t>
      </w:r>
      <w:r w:rsidR="00A402C7" w:rsidRPr="0004522E">
        <w:rPr>
          <w:rStyle w:val="EndnoteReference"/>
          <w:rFonts w:cs="Arial"/>
          <w:color w:val="000000"/>
          <w:szCs w:val="20"/>
        </w:rPr>
        <w:endnoteReference w:id="115"/>
      </w:r>
      <w:r w:rsidR="00A402C7" w:rsidRPr="0004522E">
        <w:rPr>
          <w:rFonts w:cs="Arial"/>
          <w:noProof/>
          <w:szCs w:val="20"/>
        </w:rPr>
        <w:t xml:space="preserve"> </w:t>
      </w:r>
    </w:p>
    <w:p w:rsidR="00A402C7" w:rsidRPr="0004522E" w:rsidRDefault="00430DFB" w:rsidP="0004522E">
      <w:pPr>
        <w:pStyle w:val="AppendixDHeading"/>
        <w:spacing w:line="276" w:lineRule="auto"/>
        <w:rPr>
          <w:rFonts w:ascii="Arial" w:hAnsi="Arial" w:cs="Arial"/>
          <w:sz w:val="20"/>
          <w:szCs w:val="20"/>
        </w:rPr>
      </w:pPr>
      <w:r>
        <w:rPr>
          <w:rFonts w:ascii="Arial" w:hAnsi="Arial" w:cs="Arial"/>
          <w:b w:val="0"/>
          <w:noProof/>
          <w:color w:val="000000"/>
          <w:sz w:val="20"/>
          <w:szCs w:val="20"/>
        </w:rPr>
        <mc:AlternateContent>
          <mc:Choice Requires="wps">
            <w:drawing>
              <wp:anchor distT="0" distB="0" distL="114300" distR="114300" simplePos="0" relativeHeight="251673088" behindDoc="0" locked="0" layoutInCell="1" allowOverlap="1">
                <wp:simplePos x="0" y="0"/>
                <wp:positionH relativeFrom="column">
                  <wp:posOffset>3350895</wp:posOffset>
                </wp:positionH>
                <wp:positionV relativeFrom="paragraph">
                  <wp:posOffset>347345</wp:posOffset>
                </wp:positionV>
                <wp:extent cx="2592070" cy="323850"/>
                <wp:effectExtent l="0" t="4445" r="635" b="0"/>
                <wp:wrapSquare wrapText="bothSides"/>
                <wp:docPr id="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9D3" w:rsidRPr="00A1354D" w:rsidRDefault="00E659D3" w:rsidP="00A1354D">
                            <w:pPr>
                              <w:jc w:val="center"/>
                              <w:rPr>
                                <w:rFonts w:cs="Arial"/>
                                <w:i/>
                                <w:sz w:val="14"/>
                                <w:szCs w:val="14"/>
                              </w:rPr>
                            </w:pPr>
                            <w:r w:rsidRPr="00A1354D">
                              <w:rPr>
                                <w:rFonts w:cs="Arial"/>
                                <w:sz w:val="14"/>
                                <w:szCs w:val="14"/>
                              </w:rPr>
                              <w:t xml:space="preserve">Street trees with porous pavement, Pier A Park, Hoboken, New Jersey. Courtesy of: </w:t>
                            </w:r>
                            <w:r w:rsidRPr="00A1354D">
                              <w:rPr>
                                <w:rFonts w:cs="Arial"/>
                                <w:i/>
                                <w:sz w:val="14"/>
                                <w:szCs w:val="14"/>
                              </w:rPr>
                              <w:t>Bruce K. Ferguson.</w:t>
                            </w:r>
                          </w:p>
                          <w:p w:rsidR="00E659D3" w:rsidRPr="000214A6" w:rsidRDefault="00E659D3" w:rsidP="005F74AA">
                            <w:pPr>
                              <w:contextualSpacing/>
                              <w:rPr>
                                <w:rFonts w:ascii="Times New Roman" w:hAnsi="Times New Roman"/>
                                <w:sz w:val="16"/>
                                <w:szCs w:val="16"/>
                              </w:rPr>
                            </w:pPr>
                          </w:p>
                          <w:p w:rsidR="00E659D3" w:rsidRDefault="00E659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01" type="#_x0000_t202" style="position:absolute;margin-left:263.85pt;margin-top:27.35pt;width:204.1pt;height: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m5igIAABk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" stroked="f">
                <v:textbox>
                  <w:txbxContent>
                    <w:p w:rsidR="00E659D3" w:rsidRPr="00A1354D" w:rsidRDefault="00E659D3" w:rsidP="00A1354D">
                      <w:pPr>
                        <w:jc w:val="center"/>
                        <w:rPr>
                          <w:rFonts w:cs="Arial"/>
                          <w:i/>
                          <w:sz w:val="14"/>
                          <w:szCs w:val="14"/>
                        </w:rPr>
                      </w:pPr>
                      <w:r w:rsidRPr="00A1354D">
                        <w:rPr>
                          <w:rFonts w:cs="Arial"/>
                          <w:sz w:val="14"/>
                          <w:szCs w:val="14"/>
                        </w:rPr>
                        <w:t xml:space="preserve">Street trees with porous pavement, Pier A Park, Hoboken, New Jersey. Courtesy of: </w:t>
                      </w:r>
                      <w:r w:rsidRPr="00A1354D">
                        <w:rPr>
                          <w:rFonts w:cs="Arial"/>
                          <w:i/>
                          <w:sz w:val="14"/>
                          <w:szCs w:val="14"/>
                        </w:rPr>
                        <w:t>Bruce K. Ferguson.</w:t>
                      </w:r>
                    </w:p>
                    <w:p w:rsidR="00E659D3" w:rsidRPr="000214A6" w:rsidRDefault="00E659D3" w:rsidP="005F74AA">
                      <w:pPr>
                        <w:contextualSpacing/>
                        <w:rPr>
                          <w:rFonts w:ascii="Times New Roman" w:hAnsi="Times New Roman"/>
                          <w:sz w:val="16"/>
                          <w:szCs w:val="16"/>
                        </w:rPr>
                      </w:pPr>
                    </w:p>
                    <w:p w:rsidR="00E659D3" w:rsidRDefault="00E659D3"/>
                  </w:txbxContent>
                </v:textbox>
                <w10:wrap type="square"/>
              </v:shape>
            </w:pict>
          </mc:Fallback>
        </mc:AlternateContent>
      </w:r>
      <w:r w:rsidR="00A402C7" w:rsidRPr="0004522E">
        <w:rPr>
          <w:rFonts w:ascii="Arial" w:hAnsi="Arial" w:cs="Arial"/>
          <w:sz w:val="20"/>
          <w:szCs w:val="20"/>
        </w:rPr>
        <w:t>Construction</w:t>
      </w:r>
    </w:p>
    <w:p w:rsidR="00A402C7" w:rsidRPr="0004522E" w:rsidRDefault="00A402C7" w:rsidP="0004522E">
      <w:pPr>
        <w:spacing w:line="276" w:lineRule="auto"/>
        <w:contextualSpacing/>
        <w:rPr>
          <w:rStyle w:val="apple-style-span"/>
          <w:rFonts w:cs="Arial"/>
          <w:color w:val="000000"/>
          <w:szCs w:val="20"/>
        </w:rPr>
      </w:pPr>
      <w:r w:rsidRPr="0004522E">
        <w:rPr>
          <w:rFonts w:cs="Arial"/>
          <w:color w:val="000000"/>
          <w:szCs w:val="20"/>
        </w:rPr>
        <w:t>Tree planting occurs by converting open or paved areas into planted areas. For planting in open spaces allow for appropriate planting depth according to tree species and size. In urbanized areas with impervious surfaces, impervious surfaces must be removed prior to tree planting, and installation generally includes the use of a “tree box” to protect the tree roots from heavy traffic. The tree box generally includes a 4-foot by 6-foot precast concrete frame fully capable of supporting traffic loading which surrounds the base of the tree.</w:t>
      </w:r>
      <w:r w:rsidRPr="0004522E">
        <w:rPr>
          <w:rStyle w:val="EndnoteReference"/>
          <w:rFonts w:cs="Arial"/>
          <w:color w:val="000000"/>
          <w:szCs w:val="20"/>
        </w:rPr>
        <w:endnoteReference w:id="116"/>
      </w:r>
      <w:r w:rsidRPr="0004522E">
        <w:rPr>
          <w:rFonts w:cs="Arial"/>
          <w:color w:val="000000"/>
          <w:szCs w:val="20"/>
        </w:rPr>
        <w:t xml:space="preserve"> After tree planting, stormwater may infiltrate naturally into the surrounding soils and groundwater through</w:t>
      </w:r>
      <w:r w:rsidRPr="0004522E">
        <w:rPr>
          <w:rStyle w:val="apple-style-span"/>
          <w:rFonts w:cs="Arial"/>
          <w:color w:val="000000"/>
          <w:szCs w:val="20"/>
        </w:rPr>
        <w:t xml:space="preserve"> physical, chemical, and biological processes.</w:t>
      </w:r>
      <w:r w:rsidRPr="0004522E">
        <w:rPr>
          <w:rStyle w:val="EndnoteReference"/>
          <w:rFonts w:cs="Arial"/>
          <w:color w:val="000000"/>
          <w:szCs w:val="20"/>
        </w:rPr>
        <w:endnoteReference w:id="117"/>
      </w:r>
    </w:p>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Benefits</w:t>
      </w:r>
    </w:p>
    <w:p w:rsidR="00A402C7" w:rsidRPr="0004522E" w:rsidRDefault="00A402C7" w:rsidP="0004522E">
      <w:pPr>
        <w:spacing w:line="276" w:lineRule="auto"/>
        <w:contextualSpacing/>
        <w:rPr>
          <w:rFonts w:cs="Arial"/>
          <w:color w:val="000000"/>
          <w:szCs w:val="20"/>
        </w:rPr>
      </w:pPr>
      <w:r w:rsidRPr="0004522E">
        <w:rPr>
          <w:rFonts w:cs="Arial"/>
          <w:color w:val="000000"/>
          <w:szCs w:val="20"/>
        </w:rPr>
        <w:t>Planting new trees can reduce stormwater runoff, promote evapotranspiration, increase nutrient uptake, provide shading and thermal reductions, encourage wildlife habitat, improve aesthetics in neighborhoods and parks,</w:t>
      </w:r>
      <w:r w:rsidRPr="0004522E">
        <w:rPr>
          <w:rStyle w:val="EndnoteReference"/>
          <w:rFonts w:cs="Arial"/>
          <w:color w:val="000000"/>
          <w:szCs w:val="20"/>
        </w:rPr>
        <w:endnoteReference w:id="118"/>
      </w:r>
      <w:r w:rsidRPr="0004522E">
        <w:rPr>
          <w:rFonts w:cs="Arial"/>
          <w:color w:val="000000"/>
          <w:szCs w:val="20"/>
        </w:rPr>
        <w:t xml:space="preserve"> and contribute to the process of air purification and oxygen regeneration.</w:t>
      </w:r>
      <w:r w:rsidRPr="0004522E">
        <w:rPr>
          <w:rStyle w:val="EndnoteReference"/>
          <w:rFonts w:cs="Arial"/>
          <w:color w:val="000000"/>
          <w:szCs w:val="20"/>
        </w:rPr>
        <w:endnoteReference w:id="119"/>
      </w:r>
      <w:r w:rsidRPr="0004522E">
        <w:rPr>
          <w:rFonts w:cs="Arial"/>
          <w:color w:val="000000"/>
          <w:szCs w:val="20"/>
        </w:rPr>
        <w:t xml:space="preserve"> For example, one report in New York City estimates that by adding 300,000 street trees to the 500,000 existing street trees, over 60 tons of air pollution can be removed each year.</w:t>
      </w:r>
      <w:r w:rsidRPr="0004522E">
        <w:rPr>
          <w:rStyle w:val="EndnoteReference"/>
          <w:rFonts w:cs="Arial"/>
          <w:color w:val="000000"/>
          <w:szCs w:val="20"/>
        </w:rPr>
        <w:endnoteReference w:id="120"/>
      </w:r>
      <w:r w:rsidRPr="0004522E">
        <w:rPr>
          <w:rFonts w:cs="Arial"/>
          <w:color w:val="000000"/>
          <w:szCs w:val="20"/>
        </w:rPr>
        <w:t xml:space="preserve"> The report also states estimates the addition of every 100,000 trees could decrease the city temperature by 1.4 degrees and decrease ozone annually by 12,000 pounds.</w:t>
      </w:r>
      <w:r w:rsidRPr="0004522E">
        <w:rPr>
          <w:rStyle w:val="EndnoteReference"/>
          <w:rFonts w:cs="Arial"/>
          <w:color w:val="000000"/>
          <w:szCs w:val="20"/>
        </w:rPr>
        <w:endnoteReference w:id="121"/>
      </w:r>
    </w:p>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Limitations</w:t>
      </w:r>
    </w:p>
    <w:p w:rsidR="00A402C7" w:rsidRPr="0004522E" w:rsidRDefault="00A402C7" w:rsidP="0004522E">
      <w:pPr>
        <w:spacing w:line="276" w:lineRule="auto"/>
        <w:contextualSpacing/>
        <w:rPr>
          <w:rStyle w:val="apple-style-span"/>
          <w:rFonts w:cs="Arial"/>
          <w:color w:val="000000"/>
          <w:szCs w:val="20"/>
        </w:rPr>
      </w:pPr>
      <w:r w:rsidRPr="0004522E">
        <w:rPr>
          <w:rStyle w:val="apple-style-span"/>
          <w:rFonts w:cs="Arial"/>
          <w:color w:val="000000"/>
          <w:szCs w:val="20"/>
        </w:rPr>
        <w:t>Limitations to an effective tree planting program include the costs associated with buying, planting, and maintaining the planted area.</w:t>
      </w:r>
      <w:r w:rsidRPr="0004522E">
        <w:rPr>
          <w:rStyle w:val="EndnoteReference"/>
          <w:rFonts w:cs="Arial"/>
          <w:color w:val="000000"/>
          <w:szCs w:val="20"/>
        </w:rPr>
        <w:endnoteReference w:id="122"/>
      </w:r>
      <w:r w:rsidRPr="0004522E">
        <w:rPr>
          <w:rStyle w:val="apple-style-span"/>
          <w:rFonts w:cs="Arial"/>
          <w:color w:val="000000"/>
          <w:szCs w:val="20"/>
        </w:rPr>
        <w:t xml:space="preserve"> Further, unpredictable weather events with high winds, such as hurricanes, other large storms or droughts, and ice damage/scour may significantly damage newly planted areas.</w:t>
      </w:r>
      <w:r w:rsidRPr="0004522E">
        <w:rPr>
          <w:rStyle w:val="EndnoteReference"/>
          <w:rFonts w:cs="Arial"/>
          <w:color w:val="000000"/>
          <w:szCs w:val="20"/>
        </w:rPr>
        <w:endnoteReference w:id="123"/>
      </w:r>
    </w:p>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 xml:space="preserve">Climate Considerations </w:t>
      </w:r>
    </w:p>
    <w:p w:rsidR="00A402C7" w:rsidRPr="0004522E" w:rsidRDefault="00A402C7" w:rsidP="0004522E">
      <w:pPr>
        <w:spacing w:line="276" w:lineRule="auto"/>
        <w:contextualSpacing/>
        <w:rPr>
          <w:rFonts w:cs="Arial"/>
          <w:szCs w:val="20"/>
        </w:rPr>
      </w:pPr>
      <w:r w:rsidRPr="0004522E">
        <w:rPr>
          <w:rStyle w:val="apple-style-span"/>
          <w:rFonts w:cs="Arial"/>
          <w:color w:val="000000"/>
          <w:szCs w:val="20"/>
        </w:rPr>
        <w:t>Tree planting can be implemented in all climates, although local site characteristics must be considered when selecting tree species to be planted.</w:t>
      </w:r>
      <w:r w:rsidRPr="0004522E">
        <w:rPr>
          <w:rStyle w:val="EndnoteReference"/>
          <w:rFonts w:cs="Arial"/>
          <w:color w:val="000000"/>
          <w:szCs w:val="20"/>
        </w:rPr>
        <w:endnoteReference w:id="124"/>
      </w:r>
      <w:r w:rsidRPr="0004522E">
        <w:rPr>
          <w:rStyle w:val="apple-style-span"/>
          <w:rFonts w:cs="Arial"/>
          <w:color w:val="000000"/>
          <w:szCs w:val="20"/>
        </w:rPr>
        <w:t xml:space="preserve"> Depending on climate, tree species planted, and annual rainfall, watering may be necessary for trees to survive the growing season. For example, each street tree planted in New York City is estimated to require</w:t>
      </w:r>
      <w:r w:rsidRPr="0004522E">
        <w:rPr>
          <w:rFonts w:cs="Arial"/>
          <w:color w:val="000000"/>
          <w:szCs w:val="20"/>
        </w:rPr>
        <w:t xml:space="preserve"> 20 gallons of water per day during the growing season to survive.</w:t>
      </w:r>
      <w:r w:rsidRPr="0004522E">
        <w:rPr>
          <w:rStyle w:val="EndnoteReference"/>
          <w:rFonts w:cs="Arial"/>
          <w:color w:val="000000"/>
          <w:szCs w:val="20"/>
        </w:rPr>
        <w:endnoteReference w:id="125"/>
      </w:r>
    </w:p>
    <w:p w:rsidR="00A402C7" w:rsidRDefault="00A402C7" w:rsidP="0004522E">
      <w:pPr>
        <w:spacing w:line="276" w:lineRule="auto"/>
        <w:contextualSpacing/>
        <w:rPr>
          <w:rFonts w:cs="Arial"/>
          <w:b/>
          <w:color w:val="000000"/>
          <w:szCs w:val="20"/>
        </w:rPr>
      </w:pPr>
    </w:p>
    <w:p w:rsidR="0004522E" w:rsidRDefault="0004522E" w:rsidP="0004522E">
      <w:pPr>
        <w:spacing w:line="276" w:lineRule="auto"/>
        <w:contextualSpacing/>
        <w:rPr>
          <w:rFonts w:cs="Arial"/>
          <w:b/>
          <w:color w:val="000000"/>
          <w:szCs w:val="20"/>
        </w:rPr>
      </w:pPr>
    </w:p>
    <w:p w:rsidR="0004522E" w:rsidRPr="0004522E" w:rsidRDefault="0004522E" w:rsidP="0004522E">
      <w:pPr>
        <w:spacing w:line="276" w:lineRule="auto"/>
        <w:contextualSpacing/>
        <w:rPr>
          <w:rFonts w:cs="Arial"/>
          <w:b/>
          <w:color w:val="000000"/>
          <w:szCs w:val="20"/>
        </w:rPr>
      </w:pPr>
    </w:p>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CSO Impact</w:t>
      </w:r>
    </w:p>
    <w:p w:rsidR="00A402C7" w:rsidRPr="0004522E" w:rsidRDefault="00726551" w:rsidP="0004522E">
      <w:pPr>
        <w:spacing w:line="276" w:lineRule="auto"/>
        <w:contextualSpacing/>
        <w:rPr>
          <w:rFonts w:cs="Arial"/>
          <w:color w:val="000000"/>
          <w:szCs w:val="20"/>
        </w:rPr>
      </w:pPr>
      <w:r>
        <w:rPr>
          <w:rFonts w:cs="Arial"/>
          <w:noProof/>
          <w:color w:val="000000"/>
          <w:szCs w:val="20"/>
        </w:rPr>
        <w:drawing>
          <wp:anchor distT="0" distB="0" distL="114300" distR="114300" simplePos="0" relativeHeight="251674112" behindDoc="0" locked="0" layoutInCell="1" allowOverlap="1">
            <wp:simplePos x="0" y="0"/>
            <wp:positionH relativeFrom="margin">
              <wp:posOffset>0</wp:posOffset>
            </wp:positionH>
            <wp:positionV relativeFrom="margin">
              <wp:posOffset>1066800</wp:posOffset>
            </wp:positionV>
            <wp:extent cx="3143250" cy="2352675"/>
            <wp:effectExtent l="19050" t="0" r="0" b="0"/>
            <wp:wrapSquare wrapText="bothSides"/>
            <wp:docPr id="324" name="Picture 1" descr="http://www.fs.fed.us/fstoday/080822/images/05Research%20Roundup/gas/urban_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s.fed.us/fstoday/080822/images/05Research%20Roundup/gas/urban_trees.jpg"/>
                    <pic:cNvPicPr>
                      <a:picLocks noChangeAspect="1" noChangeArrowheads="1"/>
                    </pic:cNvPicPr>
                  </pic:nvPicPr>
                  <pic:blipFill>
                    <a:blip r:embed="rId150"/>
                    <a:srcRect/>
                    <a:stretch>
                      <a:fillRect/>
                    </a:stretch>
                  </pic:blipFill>
                  <pic:spPr bwMode="auto">
                    <a:xfrm>
                      <a:off x="0" y="0"/>
                      <a:ext cx="3143250" cy="2352675"/>
                    </a:xfrm>
                    <a:prstGeom prst="rect">
                      <a:avLst/>
                    </a:prstGeom>
                    <a:noFill/>
                    <a:ln w="9525">
                      <a:noFill/>
                      <a:miter lim="800000"/>
                      <a:headEnd/>
                      <a:tailEnd/>
                    </a:ln>
                  </pic:spPr>
                </pic:pic>
              </a:graphicData>
            </a:graphic>
          </wp:anchor>
        </w:drawing>
      </w:r>
      <w:r w:rsidR="00A402C7" w:rsidRPr="0004522E">
        <w:rPr>
          <w:rFonts w:cs="Arial"/>
          <w:color w:val="000000"/>
          <w:szCs w:val="20"/>
        </w:rPr>
        <w:t>Communities with higher percentages of tree cover have been found to have lower stormwater volumes and treatment costs.</w:t>
      </w:r>
      <w:r w:rsidR="00A402C7" w:rsidRPr="0004522E">
        <w:rPr>
          <w:rStyle w:val="EndnoteReference"/>
          <w:rFonts w:cs="Arial"/>
          <w:color w:val="000000"/>
          <w:szCs w:val="20"/>
        </w:rPr>
        <w:endnoteReference w:id="126"/>
      </w:r>
      <w:r w:rsidR="00A402C7" w:rsidRPr="0004522E">
        <w:rPr>
          <w:rFonts w:cs="Arial"/>
          <w:color w:val="000000"/>
          <w:szCs w:val="20"/>
        </w:rPr>
        <w:t xml:space="preserve"> Reductions in the amount of treated stormwater can translate into reductions in the volume and frequency of CSOs. Researchers at the University of California at Davis have estimated that for every 1,000 deciduous trees in California’s Central Valley, stormwater runoff is annually reduced nearly 1 million gallons.</w:t>
      </w:r>
      <w:r w:rsidR="00A402C7" w:rsidRPr="0004522E">
        <w:rPr>
          <w:rStyle w:val="EndnoteReference"/>
          <w:rFonts w:cs="Arial"/>
          <w:color w:val="000000"/>
          <w:szCs w:val="20"/>
        </w:rPr>
        <w:endnoteReference w:id="127"/>
      </w:r>
      <w:r w:rsidR="00A402C7" w:rsidRPr="0004522E">
        <w:rPr>
          <w:rFonts w:cs="Arial"/>
          <w:color w:val="000000"/>
          <w:szCs w:val="20"/>
        </w:rPr>
        <w:t xml:space="preserve"> Another study suggests that trees with mature canopies can absorb the first half-inch of rainfall.</w:t>
      </w:r>
      <w:r w:rsidR="00A402C7" w:rsidRPr="0004522E">
        <w:rPr>
          <w:rStyle w:val="EndnoteReference"/>
          <w:rFonts w:cs="Arial"/>
          <w:color w:val="000000"/>
          <w:szCs w:val="20"/>
        </w:rPr>
        <w:endnoteReference w:id="128"/>
      </w:r>
      <w:r w:rsidR="00A402C7" w:rsidRPr="0004522E">
        <w:rPr>
          <w:rFonts w:cs="Arial"/>
          <w:noProof/>
          <w:szCs w:val="20"/>
        </w:rPr>
        <w:t xml:space="preserve"> </w:t>
      </w:r>
    </w:p>
    <w:p w:rsidR="00A402C7" w:rsidRPr="0004522E" w:rsidRDefault="00A402C7" w:rsidP="0004522E">
      <w:pPr>
        <w:pStyle w:val="AppendixDHeading"/>
        <w:spacing w:line="276" w:lineRule="auto"/>
        <w:rPr>
          <w:rFonts w:ascii="Arial" w:hAnsi="Arial" w:cs="Arial"/>
          <w:sz w:val="20"/>
          <w:szCs w:val="20"/>
        </w:rPr>
      </w:pPr>
      <w:r w:rsidRPr="0004522E">
        <w:rPr>
          <w:rFonts w:ascii="Arial" w:hAnsi="Arial" w:cs="Arial"/>
          <w:sz w:val="20"/>
          <w:szCs w:val="20"/>
        </w:rPr>
        <w:t>Maintenance</w:t>
      </w:r>
    </w:p>
    <w:p w:rsidR="00A402C7" w:rsidRDefault="00430DFB" w:rsidP="0004522E">
      <w:pPr>
        <w:autoSpaceDE w:val="0"/>
        <w:autoSpaceDN w:val="0"/>
        <w:adjustRightInd w:val="0"/>
        <w:spacing w:line="276" w:lineRule="auto"/>
        <w:contextualSpacing/>
        <w:rPr>
          <w:rFonts w:cs="Arial"/>
          <w:color w:val="000000"/>
          <w:szCs w:val="20"/>
        </w:rPr>
      </w:pPr>
      <w:r>
        <w:rPr>
          <w:rFonts w:cs="Arial"/>
          <w:noProof/>
          <w:color w:val="000000"/>
          <w:szCs w:val="20"/>
        </w:rPr>
        <mc:AlternateContent>
          <mc:Choice Requires="wps">
            <w:drawing>
              <wp:anchor distT="0" distB="0" distL="114300" distR="114300" simplePos="0" relativeHeight="251676160" behindDoc="0" locked="0" layoutInCell="1" allowOverlap="1">
                <wp:simplePos x="0" y="0"/>
                <wp:positionH relativeFrom="column">
                  <wp:posOffset>-3362325</wp:posOffset>
                </wp:positionH>
                <wp:positionV relativeFrom="page">
                  <wp:posOffset>4215130</wp:posOffset>
                </wp:positionV>
                <wp:extent cx="3248025" cy="352425"/>
                <wp:effectExtent l="0" t="0" r="0" b="4445"/>
                <wp:wrapSquare wrapText="bothSides"/>
                <wp:docPr id="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9D3" w:rsidRPr="0004522E" w:rsidRDefault="00E659D3" w:rsidP="0004522E">
                            <w:pPr>
                              <w:jc w:val="center"/>
                              <w:rPr>
                                <w:rFonts w:cs="Arial"/>
                                <w:sz w:val="14"/>
                                <w:szCs w:val="14"/>
                              </w:rPr>
                            </w:pPr>
                            <w:r w:rsidRPr="0004522E">
                              <w:rPr>
                                <w:rFonts w:cs="Arial"/>
                                <w:sz w:val="14"/>
                                <w:szCs w:val="14"/>
                              </w:rPr>
                              <w:t xml:space="preserve">Charlotte, NC. Courtesy of: </w:t>
                            </w:r>
                            <w:r w:rsidRPr="0004522E">
                              <w:rPr>
                                <w:rFonts w:cs="Arial"/>
                                <w:i/>
                                <w:sz w:val="14"/>
                                <w:szCs w:val="14"/>
                              </w:rPr>
                              <w:t>USDA Forest Service</w:t>
                            </w:r>
                            <w:r w:rsidRPr="0004522E">
                              <w:rPr>
                                <w:rFonts w:cs="Arial"/>
                                <w:sz w:val="14"/>
                                <w:szCs w:val="14"/>
                              </w:rPr>
                              <w:t>, PSW, Center for Urban Forest Research.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02" type="#_x0000_t202" style="position:absolute;margin-left:-264.75pt;margin-top:331.9pt;width:255.75pt;height:2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" stroked="f">
                <v:textbox>
                  <w:txbxContent>
                    <w:p w:rsidR="00E659D3" w:rsidRPr="0004522E" w:rsidRDefault="00E659D3" w:rsidP="0004522E">
                      <w:pPr>
                        <w:jc w:val="center"/>
                        <w:rPr>
                          <w:rFonts w:cs="Arial"/>
                          <w:sz w:val="14"/>
                          <w:szCs w:val="14"/>
                        </w:rPr>
                      </w:pPr>
                      <w:r w:rsidRPr="0004522E">
                        <w:rPr>
                          <w:rFonts w:cs="Arial"/>
                          <w:sz w:val="14"/>
                          <w:szCs w:val="14"/>
                        </w:rPr>
                        <w:t xml:space="preserve">Charlotte, NC. Courtesy of: </w:t>
                      </w:r>
                      <w:r w:rsidRPr="0004522E">
                        <w:rPr>
                          <w:rFonts w:cs="Arial"/>
                          <w:i/>
                          <w:sz w:val="14"/>
                          <w:szCs w:val="14"/>
                        </w:rPr>
                        <w:t>USDA Forest Service</w:t>
                      </w:r>
                      <w:r w:rsidRPr="0004522E">
                        <w:rPr>
                          <w:rFonts w:cs="Arial"/>
                          <w:sz w:val="14"/>
                          <w:szCs w:val="14"/>
                        </w:rPr>
                        <w:t>, PSW, Center for Urban Forest Research.</w:t>
                      </w:r>
                    </w:p>
                  </w:txbxContent>
                </v:textbox>
                <w10:wrap type="square" anchory="page"/>
              </v:shape>
            </w:pict>
          </mc:Fallback>
        </mc:AlternateContent>
      </w:r>
      <w:r w:rsidR="00A402C7" w:rsidRPr="0004522E">
        <w:rPr>
          <w:rFonts w:cs="Arial"/>
          <w:color w:val="000000"/>
          <w:szCs w:val="20"/>
        </w:rPr>
        <w:t>Planted trees require minimal maintenance other beyond routine pruning, weeding, disease or insect damage inspection, and watering if applicable. During the first three years, mulching, watering and protection of young trees may be necessary. Tree should be inspected every three months and within one week of ice storms and high wind until trees have reached maturity.</w:t>
      </w:r>
      <w:r w:rsidR="00A402C7" w:rsidRPr="0004522E">
        <w:rPr>
          <w:rStyle w:val="EndnoteReference"/>
          <w:rFonts w:cs="Arial"/>
          <w:color w:val="000000"/>
          <w:szCs w:val="20"/>
        </w:rPr>
        <w:endnoteReference w:id="129"/>
      </w:r>
      <w:r w:rsidR="00A402C7" w:rsidRPr="0004522E">
        <w:rPr>
          <w:rFonts w:cs="Arial"/>
          <w:color w:val="000000"/>
          <w:szCs w:val="20"/>
        </w:rPr>
        <w:t xml:space="preserve"> </w:t>
      </w:r>
    </w:p>
    <w:p w:rsidR="0004522E" w:rsidRDefault="0004522E" w:rsidP="0004522E">
      <w:pPr>
        <w:autoSpaceDE w:val="0"/>
        <w:autoSpaceDN w:val="0"/>
        <w:adjustRightInd w:val="0"/>
        <w:spacing w:line="276" w:lineRule="auto"/>
        <w:contextualSpacing/>
        <w:rPr>
          <w:rFonts w:cs="Arial"/>
          <w:color w:val="000000"/>
          <w:szCs w:val="20"/>
        </w:rPr>
      </w:pPr>
    </w:p>
    <w:p w:rsidR="0004522E" w:rsidRPr="0004522E" w:rsidRDefault="0004522E" w:rsidP="0004522E">
      <w:pPr>
        <w:autoSpaceDE w:val="0"/>
        <w:autoSpaceDN w:val="0"/>
        <w:adjustRightInd w:val="0"/>
        <w:spacing w:line="276" w:lineRule="auto"/>
        <w:contextualSpacing/>
        <w:rPr>
          <w:rFonts w:cs="Arial"/>
          <w:color w:val="000000"/>
          <w:szCs w:val="20"/>
        </w:rPr>
      </w:pPr>
    </w:p>
    <w:p w:rsidR="00A402C7" w:rsidRPr="0004522E" w:rsidRDefault="00A402C7" w:rsidP="0004522E">
      <w:pPr>
        <w:pStyle w:val="AppendixDHeading"/>
        <w:spacing w:before="0" w:line="276" w:lineRule="auto"/>
        <w:rPr>
          <w:rFonts w:ascii="Arial" w:hAnsi="Arial" w:cs="Arial"/>
          <w:sz w:val="20"/>
          <w:szCs w:val="20"/>
        </w:rPr>
      </w:pPr>
      <w:r w:rsidRPr="0004522E">
        <w:rPr>
          <w:rFonts w:ascii="Arial" w:hAnsi="Arial" w:cs="Arial"/>
          <w:sz w:val="20"/>
          <w:szCs w:val="20"/>
        </w:rPr>
        <w:t>Construction Costs</w:t>
      </w:r>
    </w:p>
    <w:p w:rsidR="00A402C7" w:rsidRPr="0004522E" w:rsidRDefault="00A402C7" w:rsidP="0004522E">
      <w:pPr>
        <w:autoSpaceDE w:val="0"/>
        <w:autoSpaceDN w:val="0"/>
        <w:adjustRightInd w:val="0"/>
        <w:spacing w:line="276" w:lineRule="auto"/>
        <w:contextualSpacing/>
        <w:rPr>
          <w:rFonts w:cs="Arial"/>
          <w:szCs w:val="20"/>
        </w:rPr>
      </w:pPr>
      <w:r w:rsidRPr="0004522E">
        <w:rPr>
          <w:rStyle w:val="apple-style-span"/>
          <w:rFonts w:cs="Arial"/>
          <w:color w:val="000000"/>
          <w:szCs w:val="20"/>
        </w:rPr>
        <w:t xml:space="preserve">Tree planting costs can vary greatly. </w:t>
      </w:r>
      <w:r w:rsidRPr="0004522E">
        <w:rPr>
          <w:rFonts w:cs="Arial"/>
          <w:szCs w:val="20"/>
        </w:rPr>
        <w:t>Tree planting costs include the cost of site preparation,</w:t>
      </w:r>
      <w:r w:rsidR="00C52A4F">
        <w:rPr>
          <w:rFonts w:cs="Arial"/>
          <w:szCs w:val="20"/>
        </w:rPr>
        <w:t xml:space="preserve"> </w:t>
      </w:r>
      <w:r w:rsidRPr="0004522E">
        <w:rPr>
          <w:rFonts w:cs="Arial"/>
          <w:szCs w:val="20"/>
        </w:rPr>
        <w:t xml:space="preserve">seedlings or seed, cost of planting, and weed control for three to five years after planting. </w:t>
      </w:r>
      <w:r w:rsidRPr="0004522E">
        <w:rPr>
          <w:rStyle w:val="apple-style-span"/>
          <w:rFonts w:cs="Arial"/>
          <w:color w:val="000000"/>
          <w:szCs w:val="20"/>
        </w:rPr>
        <w:t>Low planting costs may be associated with community action programs that solicit volunteers to plant low priced saplings. Higher costs may be associated with professional landscape businesses.</w:t>
      </w:r>
      <w:r w:rsidRPr="0004522E">
        <w:rPr>
          <w:rStyle w:val="EndnoteReference"/>
          <w:rFonts w:cs="Arial"/>
          <w:color w:val="000000"/>
          <w:szCs w:val="20"/>
        </w:rPr>
        <w:endnoteReference w:id="130"/>
      </w:r>
      <w:r w:rsidRPr="0004522E">
        <w:rPr>
          <w:rStyle w:val="apple-style-span"/>
          <w:rFonts w:cs="Arial"/>
          <w:color w:val="000000"/>
          <w:szCs w:val="20"/>
        </w:rPr>
        <w:t xml:space="preserve"> Operation and maintenance costs are minimal given the anticipated maintenance activities stated above.</w:t>
      </w:r>
    </w:p>
    <w:p w:rsidR="00A402C7" w:rsidRPr="00BA4B63" w:rsidRDefault="00A402C7" w:rsidP="005F74AA">
      <w:pPr>
        <w:rPr>
          <w:rFonts w:ascii="Times New Roman" w:hAnsi="Times New Roman"/>
          <w:sz w:val="24"/>
        </w:rPr>
      </w:pPr>
    </w:p>
    <w:p w:rsidR="00CB44B1" w:rsidRPr="00E552D9" w:rsidRDefault="00CB44B1" w:rsidP="00FF21B6"/>
    <w:sectPr w:rsidR="00CB44B1" w:rsidRPr="00E552D9" w:rsidSect="005F01AD">
      <w:endnotePr>
        <w:numFmt w:val="decimal"/>
        <w:numRestart w:val="eachSect"/>
      </w:endnotePr>
      <w:pgSz w:w="12240" w:h="15840"/>
      <w:pgMar w:top="1440" w:right="1440" w:bottom="1440" w:left="1440" w:header="720" w:footer="720" w:gutter="0"/>
      <w:pgNumType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045" w:rsidRDefault="00F51045">
      <w:r>
        <w:separator/>
      </w:r>
    </w:p>
    <w:p w:rsidR="00F51045" w:rsidRDefault="00F51045"/>
  </w:endnote>
  <w:endnote w:type="continuationSeparator" w:id="0">
    <w:p w:rsidR="00F51045" w:rsidRDefault="00F51045">
      <w:r>
        <w:continuationSeparator/>
      </w:r>
    </w:p>
    <w:p w:rsidR="00F51045" w:rsidRDefault="00F51045"/>
  </w:endnote>
  <w:endnote w:id="1">
    <w:p w:rsidR="00E659D3" w:rsidRPr="003D5FE0" w:rsidRDefault="00E659D3" w:rsidP="003D5FE0">
      <w:pPr>
        <w:pStyle w:val="EndnoteText"/>
        <w:ind w:left="360" w:hanging="360"/>
        <w:rPr>
          <w:rFonts w:ascii="Arial" w:hAnsi="Arial" w:cs="Arial"/>
          <w:i/>
          <w:iCs/>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 New York State Department of Environmental Conservation. (2010).  </w:t>
      </w:r>
      <w:r w:rsidRPr="00FE6900">
        <w:rPr>
          <w:rFonts w:ascii="Arial" w:hAnsi="Arial" w:cs="Arial"/>
          <w:i/>
          <w:iCs/>
          <w:sz w:val="18"/>
          <w:szCs w:val="18"/>
        </w:rPr>
        <w:t>New York Stat</w:t>
      </w:r>
      <w:r>
        <w:rPr>
          <w:rFonts w:ascii="Arial" w:hAnsi="Arial" w:cs="Arial"/>
          <w:i/>
          <w:iCs/>
          <w:sz w:val="18"/>
          <w:szCs w:val="18"/>
        </w:rPr>
        <w:t xml:space="preserve">e Stormwater Management Design </w:t>
      </w:r>
      <w:r w:rsidRPr="00FE6900">
        <w:rPr>
          <w:rFonts w:ascii="Arial" w:hAnsi="Arial" w:cs="Arial"/>
          <w:i/>
          <w:iCs/>
          <w:sz w:val="18"/>
          <w:szCs w:val="18"/>
        </w:rPr>
        <w:t>Manual</w:t>
      </w:r>
      <w:r w:rsidRPr="00FE6900">
        <w:rPr>
          <w:rFonts w:ascii="Arial" w:hAnsi="Arial" w:cs="Arial"/>
          <w:sz w:val="18"/>
          <w:szCs w:val="18"/>
        </w:rPr>
        <w:t>. 642 pp. Available at</w:t>
      </w:r>
      <w:r>
        <w:rPr>
          <w:rFonts w:ascii="Arial" w:hAnsi="Arial" w:cs="Arial"/>
          <w:sz w:val="18"/>
          <w:szCs w:val="18"/>
        </w:rPr>
        <w:t>:</w:t>
      </w:r>
      <w:r w:rsidRPr="00FE6900">
        <w:rPr>
          <w:rFonts w:ascii="Arial" w:hAnsi="Arial" w:cs="Arial"/>
          <w:sz w:val="18"/>
          <w:szCs w:val="18"/>
        </w:rPr>
        <w:t xml:space="preserve"> &lt;</w:t>
      </w:r>
      <w:hyperlink r:id="rId1" w:history="1">
        <w:r w:rsidRPr="00FE6900">
          <w:rPr>
            <w:rStyle w:val="Hyperlink"/>
            <w:rFonts w:ascii="Arial" w:hAnsi="Arial" w:cs="Arial"/>
            <w:color w:val="auto"/>
            <w:sz w:val="18"/>
            <w:szCs w:val="18"/>
          </w:rPr>
          <w:t>http://www.dec.ny.gov/chemical/29072.html</w:t>
        </w:r>
      </w:hyperlink>
      <w:r w:rsidRPr="00FE6900">
        <w:rPr>
          <w:rFonts w:ascii="Arial" w:hAnsi="Arial" w:cs="Arial"/>
          <w:sz w:val="18"/>
          <w:szCs w:val="18"/>
        </w:rPr>
        <w:t>&gt;.</w:t>
      </w:r>
    </w:p>
  </w:endnote>
  <w:endnote w:id="2">
    <w:p w:rsidR="00E659D3" w:rsidRPr="003D5FE0" w:rsidRDefault="00E659D3" w:rsidP="003D5FE0">
      <w:pPr>
        <w:pStyle w:val="EndnoteText"/>
        <w:ind w:left="360" w:hanging="360"/>
        <w:rPr>
          <w:rFonts w:ascii="Arial" w:hAnsi="Arial" w:cs="Arial"/>
          <w:i/>
          <w:iCs/>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 New York State Department of Environmental Conservation. (2010).  </w:t>
      </w:r>
      <w:r w:rsidRPr="00FE6900">
        <w:rPr>
          <w:rFonts w:ascii="Arial" w:hAnsi="Arial" w:cs="Arial"/>
          <w:i/>
          <w:iCs/>
          <w:sz w:val="18"/>
          <w:szCs w:val="18"/>
        </w:rPr>
        <w:t>New York Stat</w:t>
      </w:r>
      <w:r>
        <w:rPr>
          <w:rFonts w:ascii="Arial" w:hAnsi="Arial" w:cs="Arial"/>
          <w:i/>
          <w:iCs/>
          <w:sz w:val="18"/>
          <w:szCs w:val="18"/>
        </w:rPr>
        <w:t xml:space="preserve">e Stormwater Management Design </w:t>
      </w:r>
      <w:r w:rsidRPr="00FE6900">
        <w:rPr>
          <w:rFonts w:ascii="Arial" w:hAnsi="Arial" w:cs="Arial"/>
          <w:i/>
          <w:iCs/>
          <w:sz w:val="18"/>
          <w:szCs w:val="18"/>
        </w:rPr>
        <w:t>Manual</w:t>
      </w:r>
      <w:r w:rsidRPr="00FE6900">
        <w:rPr>
          <w:rFonts w:ascii="Arial" w:hAnsi="Arial" w:cs="Arial"/>
          <w:sz w:val="18"/>
          <w:szCs w:val="18"/>
        </w:rPr>
        <w:t>. 642 pp. Available at</w:t>
      </w:r>
      <w:r>
        <w:rPr>
          <w:rFonts w:ascii="Arial" w:hAnsi="Arial" w:cs="Arial"/>
          <w:sz w:val="18"/>
          <w:szCs w:val="18"/>
        </w:rPr>
        <w:t>:</w:t>
      </w:r>
      <w:r w:rsidRPr="00FE6900">
        <w:rPr>
          <w:rFonts w:ascii="Arial" w:hAnsi="Arial" w:cs="Arial"/>
          <w:sz w:val="18"/>
          <w:szCs w:val="18"/>
        </w:rPr>
        <w:t xml:space="preserve"> &lt;</w:t>
      </w:r>
      <w:hyperlink r:id="rId2" w:history="1">
        <w:r w:rsidRPr="00FE6900">
          <w:rPr>
            <w:rStyle w:val="Hyperlink"/>
            <w:rFonts w:ascii="Arial" w:hAnsi="Arial" w:cs="Arial"/>
            <w:color w:val="auto"/>
            <w:sz w:val="18"/>
            <w:szCs w:val="18"/>
          </w:rPr>
          <w:t>http://www.dec.ny.gov/chemical/29072.html</w:t>
        </w:r>
      </w:hyperlink>
      <w:r w:rsidRPr="00FE6900">
        <w:rPr>
          <w:rFonts w:ascii="Arial" w:hAnsi="Arial" w:cs="Arial"/>
          <w:sz w:val="18"/>
          <w:szCs w:val="18"/>
        </w:rPr>
        <w:t>&gt;.</w:t>
      </w:r>
    </w:p>
  </w:endnote>
  <w:endnote w:id="3">
    <w:p w:rsidR="00E659D3" w:rsidRPr="003D5FE0" w:rsidRDefault="00E659D3" w:rsidP="003D5FE0">
      <w:pPr>
        <w:ind w:left="360" w:hanging="360"/>
        <w:rPr>
          <w:rFonts w:cs="Arial"/>
          <w:i/>
          <w:sz w:val="18"/>
          <w:szCs w:val="18"/>
        </w:rPr>
      </w:pPr>
      <w:r w:rsidRPr="00FE6900">
        <w:rPr>
          <w:rStyle w:val="EndnoteReference"/>
          <w:rFonts w:cs="Arial"/>
          <w:sz w:val="18"/>
          <w:szCs w:val="18"/>
        </w:rPr>
        <w:endnoteRef/>
      </w:r>
      <w:r w:rsidRPr="00FE6900">
        <w:rPr>
          <w:rFonts w:cs="Arial"/>
          <w:sz w:val="18"/>
          <w:szCs w:val="18"/>
        </w:rPr>
        <w:t xml:space="preserve"> Pennsylvania Association of Conservation Districts (PACD). (1998). </w:t>
      </w:r>
      <w:r w:rsidRPr="00FE6900">
        <w:rPr>
          <w:rFonts w:cs="Arial"/>
          <w:i/>
          <w:sz w:val="18"/>
          <w:szCs w:val="18"/>
        </w:rPr>
        <w:t>Pennsylvania</w:t>
      </w:r>
      <w:r>
        <w:rPr>
          <w:rFonts w:cs="Arial"/>
          <w:i/>
          <w:sz w:val="18"/>
          <w:szCs w:val="18"/>
        </w:rPr>
        <w:t xml:space="preserve"> Handbook of Best Management Practices </w:t>
      </w:r>
      <w:r w:rsidRPr="00FE6900">
        <w:rPr>
          <w:rFonts w:cs="Arial"/>
          <w:i/>
          <w:sz w:val="18"/>
          <w:szCs w:val="18"/>
        </w:rPr>
        <w:t>for Developing Areas</w:t>
      </w:r>
      <w:r w:rsidRPr="00FE6900">
        <w:rPr>
          <w:rFonts w:cs="Arial"/>
          <w:sz w:val="18"/>
          <w:szCs w:val="18"/>
        </w:rPr>
        <w:t xml:space="preserve">. Harrisburg, PA. As cited in USEPA. (2009). </w:t>
      </w:r>
      <w:r w:rsidRPr="00FE6900">
        <w:rPr>
          <w:rFonts w:cs="Arial"/>
          <w:i/>
          <w:sz w:val="18"/>
          <w:szCs w:val="18"/>
        </w:rPr>
        <w:t xml:space="preserve">Green Roofs for Stormwater Runoff Control. </w:t>
      </w:r>
      <w:r w:rsidRPr="00FE6900">
        <w:rPr>
          <w:rFonts w:cs="Arial"/>
          <w:sz w:val="18"/>
          <w:szCs w:val="18"/>
        </w:rPr>
        <w:t xml:space="preserve"> 81 pp. Available at</w:t>
      </w:r>
      <w:r>
        <w:rPr>
          <w:rFonts w:cs="Arial"/>
          <w:sz w:val="18"/>
          <w:szCs w:val="18"/>
        </w:rPr>
        <w:t>:</w:t>
      </w:r>
      <w:r w:rsidRPr="00FE6900">
        <w:rPr>
          <w:rFonts w:cs="Arial"/>
          <w:sz w:val="18"/>
          <w:szCs w:val="18"/>
        </w:rPr>
        <w:t xml:space="preserve"> &lt; </w:t>
      </w:r>
      <w:hyperlink r:id="rId3" w:history="1">
        <w:r w:rsidRPr="00FE6900">
          <w:rPr>
            <w:rStyle w:val="Hyperlink"/>
            <w:rFonts w:cs="Arial"/>
            <w:color w:val="auto"/>
            <w:sz w:val="18"/>
            <w:szCs w:val="18"/>
          </w:rPr>
          <w:t>http://www.epa.gov/nrmrl/pubs/600r09026/600r09026.pdf</w:t>
        </w:r>
      </w:hyperlink>
      <w:r w:rsidRPr="00FE6900">
        <w:rPr>
          <w:rFonts w:cs="Arial"/>
          <w:sz w:val="18"/>
          <w:szCs w:val="18"/>
        </w:rPr>
        <w:t>&gt;.</w:t>
      </w:r>
    </w:p>
  </w:endnote>
  <w:endnote w:id="4">
    <w:p w:rsidR="00E659D3" w:rsidRPr="003D5FE0" w:rsidRDefault="00E659D3" w:rsidP="003D5FE0">
      <w:pPr>
        <w:pStyle w:val="EndnoteText"/>
        <w:ind w:left="360" w:hanging="360"/>
        <w:rPr>
          <w:rFonts w:ascii="Arial" w:hAnsi="Arial" w:cs="Arial"/>
          <w:i/>
          <w:iCs/>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 New York State Department of Environmental Conservation. (2010).  </w:t>
      </w:r>
      <w:r w:rsidRPr="00FE6900">
        <w:rPr>
          <w:rFonts w:ascii="Arial" w:hAnsi="Arial" w:cs="Arial"/>
          <w:i/>
          <w:iCs/>
          <w:sz w:val="18"/>
          <w:szCs w:val="18"/>
        </w:rPr>
        <w:t>New York Stat</w:t>
      </w:r>
      <w:r>
        <w:rPr>
          <w:rFonts w:ascii="Arial" w:hAnsi="Arial" w:cs="Arial"/>
          <w:i/>
          <w:iCs/>
          <w:sz w:val="18"/>
          <w:szCs w:val="18"/>
        </w:rPr>
        <w:t xml:space="preserve">e Stormwater Management Design </w:t>
      </w:r>
      <w:r w:rsidRPr="00FE6900">
        <w:rPr>
          <w:rFonts w:ascii="Arial" w:hAnsi="Arial" w:cs="Arial"/>
          <w:i/>
          <w:iCs/>
          <w:sz w:val="18"/>
          <w:szCs w:val="18"/>
        </w:rPr>
        <w:t>Manual</w:t>
      </w:r>
      <w:r w:rsidRPr="00FE6900">
        <w:rPr>
          <w:rFonts w:ascii="Arial" w:hAnsi="Arial" w:cs="Arial"/>
          <w:sz w:val="18"/>
          <w:szCs w:val="18"/>
        </w:rPr>
        <w:t>. 642 pp. Available at</w:t>
      </w:r>
      <w:r>
        <w:rPr>
          <w:rFonts w:ascii="Arial" w:hAnsi="Arial" w:cs="Arial"/>
          <w:sz w:val="18"/>
          <w:szCs w:val="18"/>
        </w:rPr>
        <w:t>:</w:t>
      </w:r>
      <w:r w:rsidRPr="00FE6900">
        <w:rPr>
          <w:rFonts w:ascii="Arial" w:hAnsi="Arial" w:cs="Arial"/>
          <w:sz w:val="18"/>
          <w:szCs w:val="18"/>
        </w:rPr>
        <w:t xml:space="preserve"> &lt;</w:t>
      </w:r>
      <w:hyperlink r:id="rId4" w:history="1">
        <w:r w:rsidRPr="00FE6900">
          <w:rPr>
            <w:rStyle w:val="Hyperlink"/>
            <w:rFonts w:ascii="Arial" w:hAnsi="Arial" w:cs="Arial"/>
            <w:color w:val="auto"/>
            <w:sz w:val="18"/>
            <w:szCs w:val="18"/>
          </w:rPr>
          <w:t>http://www.dec.ny.gov/chemical/29072.html</w:t>
        </w:r>
      </w:hyperlink>
      <w:r w:rsidRPr="00FE6900">
        <w:rPr>
          <w:rFonts w:ascii="Arial" w:hAnsi="Arial" w:cs="Arial"/>
          <w:sz w:val="18"/>
          <w:szCs w:val="18"/>
        </w:rPr>
        <w:t>&gt;.</w:t>
      </w:r>
    </w:p>
  </w:endnote>
  <w:endnote w:id="5">
    <w:p w:rsidR="00E659D3" w:rsidRPr="003D5FE0" w:rsidRDefault="00E659D3" w:rsidP="003D5FE0">
      <w:pPr>
        <w:ind w:left="360" w:hanging="360"/>
        <w:rPr>
          <w:rFonts w:cs="Arial"/>
          <w:i/>
          <w:sz w:val="18"/>
          <w:szCs w:val="18"/>
        </w:rPr>
      </w:pPr>
      <w:r w:rsidRPr="00FE6900">
        <w:rPr>
          <w:rStyle w:val="EndnoteReference"/>
          <w:rFonts w:cs="Arial"/>
          <w:sz w:val="18"/>
          <w:szCs w:val="18"/>
        </w:rPr>
        <w:endnoteRef/>
      </w:r>
      <w:r w:rsidRPr="00FE6900">
        <w:rPr>
          <w:rFonts w:cs="Arial"/>
          <w:sz w:val="18"/>
          <w:szCs w:val="18"/>
        </w:rPr>
        <w:t xml:space="preserve"> Pennsylvania Association of Conservation Districts (PACD). (1998). </w:t>
      </w:r>
      <w:r w:rsidRPr="00FE6900">
        <w:rPr>
          <w:rFonts w:cs="Arial"/>
          <w:i/>
          <w:sz w:val="18"/>
          <w:szCs w:val="18"/>
        </w:rPr>
        <w:t>Pennsylvania Handbook o</w:t>
      </w:r>
      <w:r>
        <w:rPr>
          <w:rFonts w:cs="Arial"/>
          <w:i/>
          <w:sz w:val="18"/>
          <w:szCs w:val="18"/>
        </w:rPr>
        <w:t xml:space="preserve">f Best Management    Practices </w:t>
      </w:r>
      <w:r w:rsidRPr="00FE6900">
        <w:rPr>
          <w:rFonts w:cs="Arial"/>
          <w:i/>
          <w:sz w:val="18"/>
          <w:szCs w:val="18"/>
        </w:rPr>
        <w:t>for Developing Areas</w:t>
      </w:r>
      <w:r w:rsidRPr="00FE6900">
        <w:rPr>
          <w:rFonts w:cs="Arial"/>
          <w:sz w:val="18"/>
          <w:szCs w:val="18"/>
        </w:rPr>
        <w:t xml:space="preserve">. Harrisburg, PA. As cited in USEPA. (2009). </w:t>
      </w:r>
      <w:r w:rsidRPr="00FE6900">
        <w:rPr>
          <w:rFonts w:cs="Arial"/>
          <w:i/>
          <w:sz w:val="18"/>
          <w:szCs w:val="18"/>
        </w:rPr>
        <w:t xml:space="preserve">Green Roofs for Stormwater Runoff Control. </w:t>
      </w:r>
      <w:r w:rsidRPr="00FE6900">
        <w:rPr>
          <w:rFonts w:cs="Arial"/>
          <w:sz w:val="18"/>
          <w:szCs w:val="18"/>
        </w:rPr>
        <w:t xml:space="preserve"> 81 pp. Available at</w:t>
      </w:r>
      <w:r>
        <w:rPr>
          <w:rFonts w:cs="Arial"/>
          <w:sz w:val="18"/>
          <w:szCs w:val="18"/>
        </w:rPr>
        <w:t>:</w:t>
      </w:r>
      <w:r w:rsidRPr="00FE6900">
        <w:rPr>
          <w:rFonts w:cs="Arial"/>
          <w:sz w:val="18"/>
          <w:szCs w:val="18"/>
        </w:rPr>
        <w:t xml:space="preserve"> &lt; </w:t>
      </w:r>
      <w:hyperlink r:id="rId5" w:history="1">
        <w:r w:rsidRPr="00FE6900">
          <w:rPr>
            <w:rStyle w:val="Hyperlink"/>
            <w:rFonts w:cs="Arial"/>
            <w:color w:val="auto"/>
            <w:sz w:val="18"/>
            <w:szCs w:val="18"/>
          </w:rPr>
          <w:t>http://www.epa.gov/nrmrl/pubs/600r09026/600r09026.pdf</w:t>
        </w:r>
      </w:hyperlink>
      <w:r w:rsidRPr="00FE6900">
        <w:rPr>
          <w:rFonts w:cs="Arial"/>
          <w:sz w:val="18"/>
          <w:szCs w:val="18"/>
        </w:rPr>
        <w:t>&gt;.</w:t>
      </w:r>
    </w:p>
  </w:endnote>
  <w:endnote w:id="6">
    <w:p w:rsidR="00E659D3" w:rsidRPr="00FE6900" w:rsidRDefault="00E659D3" w:rsidP="003D5FE0">
      <w:pPr>
        <w:ind w:left="360" w:hanging="360"/>
        <w:rPr>
          <w:rFonts w:cs="Arial"/>
          <w:sz w:val="18"/>
          <w:szCs w:val="18"/>
        </w:rPr>
      </w:pPr>
      <w:r w:rsidRPr="00FE6900">
        <w:rPr>
          <w:rStyle w:val="EndnoteReference"/>
          <w:rFonts w:cs="Arial"/>
          <w:sz w:val="18"/>
          <w:szCs w:val="18"/>
        </w:rPr>
        <w:endnoteRef/>
      </w:r>
      <w:r w:rsidRPr="00FE6900">
        <w:rPr>
          <w:rFonts w:cs="Arial"/>
          <w:sz w:val="18"/>
          <w:szCs w:val="18"/>
        </w:rPr>
        <w:t xml:space="preserve">City of Portland Environmental Services. (2008). </w:t>
      </w:r>
      <w:r w:rsidRPr="00FE6900">
        <w:rPr>
          <w:rFonts w:cs="Arial"/>
          <w:i/>
          <w:sz w:val="18"/>
          <w:szCs w:val="18"/>
        </w:rPr>
        <w:t xml:space="preserve">Cost Benefit Evaluation of Ecoroofs.  </w:t>
      </w:r>
      <w:r>
        <w:rPr>
          <w:rFonts w:cs="Arial"/>
          <w:sz w:val="18"/>
          <w:szCs w:val="18"/>
        </w:rPr>
        <w:t xml:space="preserve">42 pp.  Available at: </w:t>
      </w:r>
      <w:r w:rsidRPr="00FE6900">
        <w:rPr>
          <w:rFonts w:cs="Arial"/>
          <w:sz w:val="18"/>
          <w:szCs w:val="18"/>
        </w:rPr>
        <w:t>&lt;</w:t>
      </w:r>
      <w:hyperlink r:id="rId6" w:history="1">
        <w:r w:rsidRPr="00FE6900">
          <w:rPr>
            <w:rStyle w:val="Hyperlink"/>
            <w:rFonts w:cs="Arial"/>
            <w:color w:val="auto"/>
            <w:sz w:val="18"/>
            <w:szCs w:val="18"/>
          </w:rPr>
          <w:t>http://www.portlandonline.com/BES/index.cfm?a=261053&amp;c=50818</w:t>
        </w:r>
      </w:hyperlink>
      <w:r w:rsidRPr="00FE6900">
        <w:rPr>
          <w:rFonts w:cs="Arial"/>
          <w:sz w:val="18"/>
          <w:szCs w:val="18"/>
        </w:rPr>
        <w:t>&gt;.</w:t>
      </w:r>
    </w:p>
  </w:endnote>
  <w:endnote w:id="7">
    <w:p w:rsidR="00E659D3" w:rsidRPr="00FE6900" w:rsidRDefault="00E659D3" w:rsidP="003D5FE0">
      <w:pPr>
        <w:pStyle w:val="EndnoteText"/>
        <w:ind w:left="360" w:hanging="360"/>
        <w:rPr>
          <w:rFonts w:ascii="Arial" w:hAnsi="Arial" w:cs="Arial"/>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 Velazquez, L. S. 2005. </w:t>
      </w:r>
      <w:r w:rsidRPr="00FE6900">
        <w:rPr>
          <w:rFonts w:ascii="Arial" w:hAnsi="Arial" w:cs="Arial"/>
          <w:i/>
          <w:iCs/>
          <w:sz w:val="18"/>
          <w:szCs w:val="18"/>
        </w:rPr>
        <w:t>Greenroofs.com</w:t>
      </w:r>
      <w:r w:rsidRPr="00FE6900">
        <w:rPr>
          <w:rFonts w:ascii="Arial" w:hAnsi="Arial" w:cs="Arial"/>
          <w:sz w:val="18"/>
          <w:szCs w:val="18"/>
        </w:rPr>
        <w:t>. Available at</w:t>
      </w:r>
      <w:r>
        <w:rPr>
          <w:rFonts w:ascii="Arial" w:hAnsi="Arial" w:cs="Arial"/>
          <w:sz w:val="18"/>
          <w:szCs w:val="18"/>
        </w:rPr>
        <w:t>:</w:t>
      </w:r>
      <w:r w:rsidRPr="00FE6900">
        <w:rPr>
          <w:rFonts w:ascii="Arial" w:hAnsi="Arial" w:cs="Arial"/>
          <w:sz w:val="18"/>
          <w:szCs w:val="18"/>
        </w:rPr>
        <w:t xml:space="preserve"> &lt;</w:t>
      </w:r>
      <w:r w:rsidRPr="008B0F30">
        <w:rPr>
          <w:rFonts w:ascii="Arial" w:hAnsi="Arial" w:cs="Arial"/>
          <w:sz w:val="18"/>
          <w:szCs w:val="18"/>
          <w:u w:val="single"/>
        </w:rPr>
        <w:t>http://www.greenroofs.com</w:t>
      </w:r>
      <w:r w:rsidRPr="00FE6900">
        <w:rPr>
          <w:rFonts w:ascii="Arial" w:hAnsi="Arial" w:cs="Arial"/>
          <w:sz w:val="18"/>
          <w:szCs w:val="18"/>
        </w:rPr>
        <w:t xml:space="preserve">&gt;. </w:t>
      </w:r>
    </w:p>
  </w:endnote>
  <w:endnote w:id="8">
    <w:p w:rsidR="00E659D3" w:rsidRPr="003D5FE0" w:rsidRDefault="00E659D3" w:rsidP="003D5FE0">
      <w:pPr>
        <w:pStyle w:val="EndnoteText"/>
        <w:ind w:left="360" w:hanging="360"/>
        <w:rPr>
          <w:rFonts w:ascii="Arial" w:hAnsi="Arial" w:cs="Arial"/>
          <w:i/>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Kloss, C and Calarusse, C.  (2006).  </w:t>
      </w:r>
      <w:r w:rsidRPr="00FE6900">
        <w:rPr>
          <w:rFonts w:ascii="Arial" w:hAnsi="Arial" w:cs="Arial"/>
          <w:i/>
          <w:sz w:val="18"/>
          <w:szCs w:val="18"/>
        </w:rPr>
        <w:t>Rooftops to Rivers: Green Strategies for Controlling</w:t>
      </w:r>
      <w:r>
        <w:rPr>
          <w:rFonts w:ascii="Arial" w:hAnsi="Arial" w:cs="Arial"/>
          <w:i/>
          <w:sz w:val="18"/>
          <w:szCs w:val="18"/>
        </w:rPr>
        <w:t xml:space="preserve"> Stormwater and Combined Sewer </w:t>
      </w:r>
      <w:r w:rsidRPr="00FE6900">
        <w:rPr>
          <w:rFonts w:ascii="Arial" w:hAnsi="Arial" w:cs="Arial"/>
          <w:i/>
          <w:sz w:val="18"/>
          <w:szCs w:val="18"/>
        </w:rPr>
        <w:t xml:space="preserve">Overflows.  </w:t>
      </w:r>
      <w:r w:rsidRPr="00FE6900">
        <w:rPr>
          <w:rFonts w:ascii="Arial" w:hAnsi="Arial" w:cs="Arial"/>
          <w:sz w:val="18"/>
          <w:szCs w:val="18"/>
        </w:rPr>
        <w:t>Prepared for the Natural Resources Defense Council.  56 pp. Available at</w:t>
      </w:r>
      <w:r>
        <w:rPr>
          <w:rFonts w:ascii="Arial" w:hAnsi="Arial" w:cs="Arial"/>
          <w:sz w:val="18"/>
          <w:szCs w:val="18"/>
        </w:rPr>
        <w:t>:</w:t>
      </w:r>
      <w:r w:rsidRPr="00FE6900">
        <w:rPr>
          <w:rFonts w:ascii="Arial" w:hAnsi="Arial" w:cs="Arial"/>
          <w:sz w:val="18"/>
          <w:szCs w:val="18"/>
        </w:rPr>
        <w:t xml:space="preserve"> &lt;</w:t>
      </w:r>
      <w:hyperlink r:id="rId7" w:history="1">
        <w:r w:rsidRPr="00FE6900">
          <w:rPr>
            <w:rStyle w:val="Hyperlink"/>
            <w:rFonts w:ascii="Arial" w:hAnsi="Arial" w:cs="Arial"/>
            <w:color w:val="auto"/>
            <w:sz w:val="18"/>
            <w:szCs w:val="18"/>
          </w:rPr>
          <w:t>http://www.nrdc.org/water/pollution/rooftops/contents.asp</w:t>
        </w:r>
      </w:hyperlink>
      <w:r w:rsidRPr="00FE6900">
        <w:rPr>
          <w:rFonts w:ascii="Arial" w:hAnsi="Arial" w:cs="Arial"/>
          <w:sz w:val="18"/>
          <w:szCs w:val="18"/>
        </w:rPr>
        <w:t>&gt;.</w:t>
      </w:r>
    </w:p>
  </w:endnote>
  <w:endnote w:id="9">
    <w:p w:rsidR="00E659D3" w:rsidRPr="003D5FE0" w:rsidRDefault="00E659D3" w:rsidP="003D5FE0">
      <w:pPr>
        <w:pStyle w:val="EndnoteText"/>
        <w:ind w:left="360" w:hanging="360"/>
        <w:rPr>
          <w:rFonts w:ascii="Arial" w:hAnsi="Arial" w:cs="Arial"/>
          <w:i/>
          <w:iCs/>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 New York State Department of Environmental Conservation. (2010).  </w:t>
      </w:r>
      <w:r w:rsidRPr="00FE6900">
        <w:rPr>
          <w:rFonts w:ascii="Arial" w:hAnsi="Arial" w:cs="Arial"/>
          <w:i/>
          <w:iCs/>
          <w:sz w:val="18"/>
          <w:szCs w:val="18"/>
        </w:rPr>
        <w:t>New York Stat</w:t>
      </w:r>
      <w:r>
        <w:rPr>
          <w:rFonts w:ascii="Arial" w:hAnsi="Arial" w:cs="Arial"/>
          <w:i/>
          <w:iCs/>
          <w:sz w:val="18"/>
          <w:szCs w:val="18"/>
        </w:rPr>
        <w:t xml:space="preserve">e Stormwater Management Design </w:t>
      </w:r>
      <w:r w:rsidRPr="00FE6900">
        <w:rPr>
          <w:rFonts w:ascii="Arial" w:hAnsi="Arial" w:cs="Arial"/>
          <w:i/>
          <w:iCs/>
          <w:sz w:val="18"/>
          <w:szCs w:val="18"/>
        </w:rPr>
        <w:t>Manual</w:t>
      </w:r>
      <w:r w:rsidRPr="00FE6900">
        <w:rPr>
          <w:rFonts w:ascii="Arial" w:hAnsi="Arial" w:cs="Arial"/>
          <w:sz w:val="18"/>
          <w:szCs w:val="18"/>
        </w:rPr>
        <w:t>. 642 pp. Available at</w:t>
      </w:r>
      <w:r>
        <w:rPr>
          <w:rFonts w:ascii="Arial" w:hAnsi="Arial" w:cs="Arial"/>
          <w:sz w:val="18"/>
          <w:szCs w:val="18"/>
        </w:rPr>
        <w:t>:</w:t>
      </w:r>
      <w:r w:rsidRPr="00FE6900">
        <w:rPr>
          <w:rFonts w:ascii="Arial" w:hAnsi="Arial" w:cs="Arial"/>
          <w:sz w:val="18"/>
          <w:szCs w:val="18"/>
        </w:rPr>
        <w:t xml:space="preserve"> &lt;</w:t>
      </w:r>
      <w:hyperlink r:id="rId8" w:history="1">
        <w:r w:rsidRPr="00FE6900">
          <w:rPr>
            <w:rStyle w:val="Hyperlink"/>
            <w:rFonts w:ascii="Arial" w:hAnsi="Arial" w:cs="Arial"/>
            <w:color w:val="auto"/>
            <w:sz w:val="18"/>
            <w:szCs w:val="18"/>
          </w:rPr>
          <w:t>http://www.dec.ny.gov/chemical/29072.html</w:t>
        </w:r>
      </w:hyperlink>
      <w:r w:rsidRPr="00FE6900">
        <w:rPr>
          <w:rFonts w:ascii="Arial" w:hAnsi="Arial" w:cs="Arial"/>
          <w:sz w:val="18"/>
          <w:szCs w:val="18"/>
        </w:rPr>
        <w:t>&gt;.</w:t>
      </w:r>
    </w:p>
  </w:endnote>
  <w:endnote w:id="10">
    <w:p w:rsidR="00E659D3" w:rsidRPr="00FE6900" w:rsidRDefault="00E659D3" w:rsidP="003D5FE0">
      <w:pPr>
        <w:pStyle w:val="EndnoteText"/>
        <w:ind w:left="360" w:hanging="360"/>
        <w:rPr>
          <w:rFonts w:ascii="Arial" w:hAnsi="Arial" w:cs="Arial"/>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 City of Portland Environmental Services. (2008). </w:t>
      </w:r>
      <w:r w:rsidRPr="00FE6900">
        <w:rPr>
          <w:rFonts w:ascii="Arial" w:hAnsi="Arial" w:cs="Arial"/>
          <w:i/>
          <w:sz w:val="18"/>
          <w:szCs w:val="18"/>
        </w:rPr>
        <w:t xml:space="preserve">Cost Benefit Evaluation of Ecoroofs.  </w:t>
      </w:r>
      <w:r w:rsidRPr="00FE6900">
        <w:rPr>
          <w:rFonts w:ascii="Arial" w:hAnsi="Arial" w:cs="Arial"/>
          <w:sz w:val="18"/>
          <w:szCs w:val="18"/>
        </w:rPr>
        <w:t>42 pp.  Available at</w:t>
      </w:r>
      <w:r>
        <w:rPr>
          <w:rFonts w:ascii="Arial" w:hAnsi="Arial" w:cs="Arial"/>
          <w:sz w:val="18"/>
          <w:szCs w:val="18"/>
        </w:rPr>
        <w:t>:</w:t>
      </w:r>
      <w:r w:rsidRPr="00FE6900">
        <w:rPr>
          <w:rFonts w:ascii="Arial" w:hAnsi="Arial" w:cs="Arial"/>
          <w:sz w:val="18"/>
          <w:szCs w:val="18"/>
        </w:rPr>
        <w:t xml:space="preserve"> &lt;</w:t>
      </w:r>
      <w:hyperlink r:id="rId9" w:history="1">
        <w:r w:rsidRPr="00FE6900">
          <w:rPr>
            <w:rStyle w:val="Hyperlink"/>
            <w:rFonts w:ascii="Arial" w:hAnsi="Arial" w:cs="Arial"/>
            <w:color w:val="auto"/>
            <w:sz w:val="18"/>
            <w:szCs w:val="18"/>
          </w:rPr>
          <w:t>http://www.portlandonline.com/BES/index.cfm?a=261053&amp;c=50818</w:t>
        </w:r>
      </w:hyperlink>
      <w:r w:rsidRPr="00FE6900">
        <w:rPr>
          <w:rFonts w:ascii="Arial" w:hAnsi="Arial" w:cs="Arial"/>
          <w:sz w:val="18"/>
          <w:szCs w:val="18"/>
        </w:rPr>
        <w:t>&gt;.</w:t>
      </w:r>
    </w:p>
  </w:endnote>
  <w:endnote w:id="11">
    <w:p w:rsidR="00E659D3" w:rsidRPr="00FE6900" w:rsidRDefault="00E659D3" w:rsidP="003D5FE0">
      <w:pPr>
        <w:autoSpaceDE w:val="0"/>
        <w:autoSpaceDN w:val="0"/>
        <w:adjustRightInd w:val="0"/>
        <w:ind w:left="360" w:hanging="360"/>
        <w:rPr>
          <w:rFonts w:cs="Arial"/>
          <w:sz w:val="18"/>
          <w:szCs w:val="18"/>
        </w:rPr>
      </w:pPr>
      <w:r w:rsidRPr="00FE6900">
        <w:rPr>
          <w:rStyle w:val="EndnoteReference"/>
          <w:rFonts w:cs="Arial"/>
          <w:sz w:val="18"/>
          <w:szCs w:val="18"/>
        </w:rPr>
        <w:endnoteRef/>
      </w:r>
      <w:r w:rsidRPr="00FE6900">
        <w:rPr>
          <w:rFonts w:cs="Arial"/>
          <w:sz w:val="18"/>
          <w:szCs w:val="18"/>
        </w:rPr>
        <w:t xml:space="preserve"> Penn State Green Roof Research. </w:t>
      </w:r>
      <w:r w:rsidRPr="00FE6900">
        <w:rPr>
          <w:rFonts w:cs="Arial"/>
          <w:i/>
          <w:sz w:val="18"/>
          <w:szCs w:val="18"/>
        </w:rPr>
        <w:t>About Green Roof Research</w:t>
      </w:r>
      <w:r w:rsidRPr="00FE6900">
        <w:rPr>
          <w:rFonts w:cs="Arial"/>
          <w:sz w:val="18"/>
          <w:szCs w:val="18"/>
        </w:rPr>
        <w:t>, Available at</w:t>
      </w:r>
      <w:r>
        <w:rPr>
          <w:rFonts w:cs="Arial"/>
          <w:sz w:val="18"/>
          <w:szCs w:val="18"/>
        </w:rPr>
        <w:t>:</w:t>
      </w:r>
      <w:r w:rsidRPr="00FE6900">
        <w:rPr>
          <w:rFonts w:cs="Arial"/>
          <w:sz w:val="18"/>
          <w:szCs w:val="18"/>
        </w:rPr>
        <w:t xml:space="preserve"> &lt;http://hortweb.cas.psu.edu/research/greenroofcenter/history.html&gt;. </w:t>
      </w:r>
    </w:p>
  </w:endnote>
  <w:endnote w:id="12">
    <w:p w:rsidR="00E659D3" w:rsidRPr="00FE6900" w:rsidRDefault="00E659D3" w:rsidP="003D5FE0">
      <w:pPr>
        <w:autoSpaceDE w:val="0"/>
        <w:autoSpaceDN w:val="0"/>
        <w:adjustRightInd w:val="0"/>
        <w:ind w:left="360" w:hanging="360"/>
        <w:rPr>
          <w:rFonts w:cs="Arial"/>
          <w:sz w:val="18"/>
          <w:szCs w:val="18"/>
        </w:rPr>
      </w:pPr>
      <w:r w:rsidRPr="00FE6900">
        <w:rPr>
          <w:rStyle w:val="EndnoteReference"/>
          <w:rFonts w:cs="Arial"/>
          <w:sz w:val="18"/>
          <w:szCs w:val="18"/>
        </w:rPr>
        <w:endnoteRef/>
      </w:r>
      <w:r w:rsidRPr="00FE6900">
        <w:rPr>
          <w:rFonts w:cs="Arial"/>
          <w:sz w:val="18"/>
          <w:szCs w:val="18"/>
        </w:rPr>
        <w:t xml:space="preserve"> Ballensky, D. (2006). </w:t>
      </w:r>
      <w:r w:rsidRPr="00FE6900">
        <w:rPr>
          <w:rFonts w:cs="Arial"/>
          <w:i/>
          <w:sz w:val="18"/>
          <w:szCs w:val="18"/>
        </w:rPr>
        <w:t>Built up roofs are expected to last 20 years. Roofing Life-Cycle Costs Emerge, Buildings</w:t>
      </w:r>
      <w:r w:rsidRPr="00FE6900">
        <w:rPr>
          <w:rFonts w:cs="Arial"/>
          <w:sz w:val="18"/>
          <w:szCs w:val="18"/>
        </w:rPr>
        <w:t>.  Available at</w:t>
      </w:r>
      <w:r>
        <w:rPr>
          <w:rFonts w:cs="Arial"/>
          <w:sz w:val="18"/>
          <w:szCs w:val="18"/>
        </w:rPr>
        <w:t>:</w:t>
      </w:r>
      <w:r w:rsidRPr="00FE6900">
        <w:rPr>
          <w:rFonts w:cs="Arial"/>
          <w:sz w:val="18"/>
          <w:szCs w:val="18"/>
        </w:rPr>
        <w:t xml:space="preserve"> &lt;</w:t>
      </w:r>
      <w:hyperlink r:id="rId10" w:history="1">
        <w:r w:rsidRPr="00FE6900">
          <w:rPr>
            <w:rStyle w:val="Hyperlink"/>
            <w:rFonts w:cs="Arial"/>
            <w:color w:val="auto"/>
            <w:sz w:val="18"/>
            <w:szCs w:val="18"/>
          </w:rPr>
          <w:t>http://www.buildings.com/ArticleDetails/tabid/3321/ArticleID/3187/Default.aspx</w:t>
        </w:r>
      </w:hyperlink>
      <w:r w:rsidRPr="00FE6900">
        <w:rPr>
          <w:rFonts w:cs="Arial"/>
          <w:sz w:val="18"/>
          <w:szCs w:val="18"/>
        </w:rPr>
        <w:t>&gt;.</w:t>
      </w:r>
    </w:p>
  </w:endnote>
  <w:endnote w:id="13">
    <w:p w:rsidR="00E659D3" w:rsidRPr="00FE6900" w:rsidRDefault="00E659D3" w:rsidP="003D5FE0">
      <w:pPr>
        <w:autoSpaceDE w:val="0"/>
        <w:autoSpaceDN w:val="0"/>
        <w:adjustRightInd w:val="0"/>
        <w:ind w:left="360" w:hanging="360"/>
        <w:rPr>
          <w:rFonts w:cs="Arial"/>
          <w:sz w:val="18"/>
          <w:szCs w:val="18"/>
        </w:rPr>
      </w:pPr>
      <w:r w:rsidRPr="00FE6900">
        <w:rPr>
          <w:rStyle w:val="EndnoteReference"/>
          <w:rFonts w:cs="Arial"/>
          <w:sz w:val="18"/>
          <w:szCs w:val="18"/>
        </w:rPr>
        <w:endnoteRef/>
      </w:r>
      <w:r w:rsidRPr="00FE6900">
        <w:rPr>
          <w:rFonts w:cs="Arial"/>
          <w:sz w:val="18"/>
          <w:szCs w:val="18"/>
        </w:rPr>
        <w:t xml:space="preserve"> Montalto, F.A., Culligan, P.J., Behr, C.T., (2007)</w:t>
      </w:r>
      <w:r w:rsidRPr="00FE6900">
        <w:rPr>
          <w:rFonts w:cs="Arial"/>
          <w:i/>
          <w:sz w:val="18"/>
          <w:szCs w:val="18"/>
        </w:rPr>
        <w:t>. Results of a property owner survey of acceptance of urban low impact development</w:t>
      </w:r>
      <w:r w:rsidRPr="00FE6900">
        <w:rPr>
          <w:rFonts w:cs="Arial"/>
          <w:sz w:val="18"/>
          <w:szCs w:val="18"/>
        </w:rPr>
        <w:t xml:space="preserve">. In: Montalto, F.A., Culligan, P.J. (Eds.), </w:t>
      </w:r>
      <w:r w:rsidRPr="00FE6900">
        <w:rPr>
          <w:rFonts w:cs="Arial"/>
          <w:i/>
          <w:sz w:val="18"/>
          <w:szCs w:val="18"/>
        </w:rPr>
        <w:t>Innovative Approaches to the Management of Urban Soil and Water</w:t>
      </w:r>
      <w:r w:rsidRPr="00FE6900">
        <w:rPr>
          <w:rFonts w:cs="Arial"/>
          <w:sz w:val="18"/>
          <w:szCs w:val="18"/>
        </w:rPr>
        <w:t>. ASCE Geotechical Practice Publication, in preparation.</w:t>
      </w:r>
    </w:p>
  </w:endnote>
  <w:endnote w:id="14">
    <w:p w:rsidR="00E659D3" w:rsidRPr="00FE6900" w:rsidRDefault="00E659D3" w:rsidP="003D5FE0">
      <w:pPr>
        <w:pStyle w:val="FootnoteText"/>
        <w:ind w:left="360" w:hanging="360"/>
        <w:rPr>
          <w:rFonts w:cs="Arial"/>
          <w:szCs w:val="18"/>
        </w:rPr>
      </w:pPr>
      <w:r w:rsidRPr="00FE6900">
        <w:rPr>
          <w:rStyle w:val="EndnoteReference"/>
          <w:rFonts w:cs="Arial"/>
          <w:szCs w:val="18"/>
        </w:rPr>
        <w:endnoteRef/>
      </w:r>
      <w:r w:rsidRPr="00FE6900">
        <w:rPr>
          <w:rFonts w:cs="Arial"/>
          <w:szCs w:val="18"/>
        </w:rPr>
        <w:t xml:space="preserve"> </w:t>
      </w:r>
      <w:r w:rsidRPr="00FE6900">
        <w:rPr>
          <w:rStyle w:val="apple-style-span"/>
          <w:rFonts w:cs="Arial"/>
          <w:szCs w:val="18"/>
        </w:rPr>
        <w:t xml:space="preserve">University Of Toronto. (2005). </w:t>
      </w:r>
      <w:r w:rsidRPr="00FE6900">
        <w:rPr>
          <w:rStyle w:val="apple-style-span"/>
          <w:rFonts w:cs="Arial"/>
          <w:i/>
          <w:szCs w:val="18"/>
        </w:rPr>
        <w:t>Green Roofs In Winter: Hot Design For A Cold Climate.</w:t>
      </w:r>
      <w:r w:rsidRPr="00FE6900">
        <w:rPr>
          <w:rStyle w:val="apple-converted-space"/>
          <w:rFonts w:cs="Arial"/>
          <w:i/>
          <w:szCs w:val="18"/>
        </w:rPr>
        <w:t> </w:t>
      </w:r>
      <w:r w:rsidRPr="00FE6900">
        <w:rPr>
          <w:rStyle w:val="Emphasis"/>
          <w:rFonts w:cs="Arial"/>
          <w:szCs w:val="18"/>
        </w:rPr>
        <w:t>Science Daily</w:t>
      </w:r>
      <w:r w:rsidRPr="00FE6900">
        <w:rPr>
          <w:rStyle w:val="apple-style-span"/>
          <w:rFonts w:cs="Arial"/>
          <w:szCs w:val="18"/>
        </w:rPr>
        <w:t>. Available at</w:t>
      </w:r>
      <w:r>
        <w:rPr>
          <w:rStyle w:val="apple-style-span"/>
          <w:rFonts w:cs="Arial"/>
          <w:szCs w:val="18"/>
        </w:rPr>
        <w:t>:</w:t>
      </w:r>
      <w:r w:rsidRPr="00FE6900">
        <w:rPr>
          <w:rStyle w:val="apple-style-span"/>
          <w:rFonts w:cs="Arial"/>
          <w:szCs w:val="18"/>
        </w:rPr>
        <w:t xml:space="preserve"> &lt;</w:t>
      </w:r>
      <w:hyperlink r:id="rId11" w:history="1">
        <w:r w:rsidRPr="00FE6900">
          <w:rPr>
            <w:rStyle w:val="Hyperlink"/>
            <w:rFonts w:cs="Arial"/>
            <w:color w:val="auto"/>
            <w:sz w:val="18"/>
            <w:szCs w:val="18"/>
          </w:rPr>
          <w:t>http://www.sciencedaily.com/releases/2005/11/051126141309.htm</w:t>
        </w:r>
      </w:hyperlink>
      <w:r w:rsidRPr="00FE6900">
        <w:rPr>
          <w:rStyle w:val="apple-style-span"/>
          <w:rFonts w:cs="Arial"/>
          <w:szCs w:val="18"/>
        </w:rPr>
        <w:t>&gt; .</w:t>
      </w:r>
    </w:p>
  </w:endnote>
  <w:endnote w:id="15">
    <w:p w:rsidR="00E659D3" w:rsidRPr="00FE6900" w:rsidRDefault="00E659D3" w:rsidP="003D5FE0">
      <w:pPr>
        <w:ind w:left="360" w:hanging="360"/>
        <w:rPr>
          <w:rFonts w:cs="Arial"/>
          <w:sz w:val="18"/>
          <w:szCs w:val="18"/>
        </w:rPr>
      </w:pPr>
      <w:r w:rsidRPr="00FE6900">
        <w:rPr>
          <w:rStyle w:val="EndnoteReference"/>
          <w:rFonts w:cs="Arial"/>
          <w:sz w:val="18"/>
          <w:szCs w:val="18"/>
        </w:rPr>
        <w:endnoteRef/>
      </w:r>
      <w:r w:rsidRPr="00FE6900">
        <w:rPr>
          <w:rFonts w:cs="Arial"/>
          <w:sz w:val="18"/>
          <w:szCs w:val="18"/>
        </w:rPr>
        <w:t xml:space="preserve"> USEPA. (2009). </w:t>
      </w:r>
      <w:r w:rsidRPr="00FE6900">
        <w:rPr>
          <w:rFonts w:cs="Arial"/>
          <w:i/>
          <w:sz w:val="18"/>
          <w:szCs w:val="18"/>
        </w:rPr>
        <w:t>Green Roofs for Stormwater Runoff Control</w:t>
      </w:r>
      <w:r w:rsidRPr="00FE6900">
        <w:rPr>
          <w:rFonts w:cs="Arial"/>
          <w:sz w:val="18"/>
          <w:szCs w:val="18"/>
        </w:rPr>
        <w:t>.  81 pp.  Available at</w:t>
      </w:r>
      <w:r>
        <w:rPr>
          <w:rFonts w:cs="Arial"/>
          <w:sz w:val="18"/>
          <w:szCs w:val="18"/>
        </w:rPr>
        <w:t>:</w:t>
      </w:r>
      <w:r w:rsidRPr="00FE6900">
        <w:rPr>
          <w:rFonts w:cs="Arial"/>
          <w:sz w:val="18"/>
          <w:szCs w:val="18"/>
        </w:rPr>
        <w:t xml:space="preserve"> &lt;</w:t>
      </w:r>
      <w:hyperlink r:id="rId12" w:history="1">
        <w:r w:rsidRPr="00FE6900">
          <w:rPr>
            <w:rStyle w:val="Hyperlink"/>
            <w:rFonts w:cs="Arial"/>
            <w:color w:val="auto"/>
            <w:sz w:val="18"/>
            <w:szCs w:val="18"/>
          </w:rPr>
          <w:t>http://www.epa.gov/nrmrl/pubs/600r09026/600r09026.pdf</w:t>
        </w:r>
      </w:hyperlink>
      <w:r w:rsidRPr="00FE6900">
        <w:rPr>
          <w:rFonts w:cs="Arial"/>
          <w:sz w:val="18"/>
          <w:szCs w:val="18"/>
        </w:rPr>
        <w:t>&gt;.</w:t>
      </w:r>
    </w:p>
  </w:endnote>
  <w:endnote w:id="16">
    <w:p w:rsidR="00E659D3" w:rsidRPr="00FE6900" w:rsidRDefault="00E659D3" w:rsidP="003D5FE0">
      <w:pPr>
        <w:pStyle w:val="EndnoteText"/>
        <w:ind w:left="360" w:hanging="360"/>
        <w:rPr>
          <w:rFonts w:ascii="Arial" w:hAnsi="Arial" w:cs="Arial"/>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 Scholz-Barth, K. (2001). </w:t>
      </w:r>
      <w:r w:rsidRPr="00FE6900">
        <w:rPr>
          <w:rFonts w:ascii="Arial" w:hAnsi="Arial" w:cs="Arial"/>
          <w:i/>
          <w:sz w:val="18"/>
          <w:szCs w:val="18"/>
        </w:rPr>
        <w:t>Green roofs: Stormwater management from the top down. Environmental Design and Construction</w:t>
      </w:r>
      <w:r>
        <w:rPr>
          <w:rFonts w:ascii="Arial" w:hAnsi="Arial" w:cs="Arial"/>
          <w:sz w:val="18"/>
          <w:szCs w:val="18"/>
        </w:rPr>
        <w:t xml:space="preserve">.  </w:t>
      </w:r>
      <w:r w:rsidRPr="00FE6900">
        <w:rPr>
          <w:rFonts w:ascii="Arial" w:hAnsi="Arial" w:cs="Arial"/>
          <w:sz w:val="18"/>
          <w:szCs w:val="18"/>
        </w:rPr>
        <w:t xml:space="preserve">January/February. As cited in USEPA. (2009). </w:t>
      </w:r>
      <w:r w:rsidRPr="00FE6900">
        <w:rPr>
          <w:rFonts w:ascii="Arial" w:hAnsi="Arial" w:cs="Arial"/>
          <w:i/>
          <w:sz w:val="18"/>
          <w:szCs w:val="18"/>
        </w:rPr>
        <w:t>Green Roofs for Stormwater Runoff Control</w:t>
      </w:r>
      <w:r w:rsidRPr="00FE6900">
        <w:rPr>
          <w:rFonts w:ascii="Arial" w:hAnsi="Arial" w:cs="Arial"/>
          <w:sz w:val="18"/>
          <w:szCs w:val="18"/>
        </w:rPr>
        <w:t xml:space="preserve">.  81 pp. </w:t>
      </w:r>
      <w:r>
        <w:rPr>
          <w:rFonts w:ascii="Arial" w:hAnsi="Arial" w:cs="Arial"/>
          <w:sz w:val="18"/>
          <w:szCs w:val="18"/>
        </w:rPr>
        <w:t xml:space="preserve">Available at: </w:t>
      </w:r>
      <w:r w:rsidRPr="00FE6900">
        <w:rPr>
          <w:rFonts w:ascii="Arial" w:hAnsi="Arial" w:cs="Arial"/>
          <w:sz w:val="18"/>
          <w:szCs w:val="18"/>
        </w:rPr>
        <w:t>&lt;</w:t>
      </w:r>
      <w:hyperlink r:id="rId13" w:history="1">
        <w:r w:rsidRPr="00FE6900">
          <w:rPr>
            <w:rStyle w:val="Hyperlink"/>
            <w:rFonts w:ascii="Arial" w:hAnsi="Arial" w:cs="Arial"/>
            <w:color w:val="auto"/>
            <w:sz w:val="18"/>
            <w:szCs w:val="18"/>
          </w:rPr>
          <w:t>http://www.epa.gov/nrmrl/pubs/600r09026/600r09026.pdf</w:t>
        </w:r>
      </w:hyperlink>
      <w:r w:rsidRPr="00FE6900">
        <w:rPr>
          <w:rFonts w:ascii="Arial" w:hAnsi="Arial" w:cs="Arial"/>
          <w:sz w:val="18"/>
          <w:szCs w:val="18"/>
        </w:rPr>
        <w:t>&gt;.</w:t>
      </w:r>
    </w:p>
  </w:endnote>
  <w:endnote w:id="17">
    <w:p w:rsidR="00E659D3" w:rsidRPr="00FE6900" w:rsidRDefault="00E659D3" w:rsidP="003D5FE0">
      <w:pPr>
        <w:ind w:left="360" w:hanging="360"/>
        <w:rPr>
          <w:rFonts w:cs="Arial"/>
          <w:sz w:val="18"/>
          <w:szCs w:val="18"/>
        </w:rPr>
      </w:pPr>
      <w:r w:rsidRPr="00FE6900">
        <w:rPr>
          <w:rStyle w:val="EndnoteReference"/>
          <w:rFonts w:cs="Arial"/>
          <w:sz w:val="18"/>
          <w:szCs w:val="18"/>
        </w:rPr>
        <w:endnoteRef/>
      </w:r>
      <w:r w:rsidRPr="00FE6900">
        <w:rPr>
          <w:rFonts w:cs="Arial"/>
          <w:sz w:val="18"/>
          <w:szCs w:val="18"/>
        </w:rPr>
        <w:t xml:space="preserve"> Miller, C. (1998). </w:t>
      </w:r>
      <w:r w:rsidRPr="00FE6900">
        <w:rPr>
          <w:rFonts w:cs="Arial"/>
          <w:i/>
          <w:sz w:val="18"/>
          <w:szCs w:val="18"/>
        </w:rPr>
        <w:t>Vegetated Roof Covers: A new method for controlling runoff in urbanized areas</w:t>
      </w:r>
      <w:r w:rsidRPr="00FE6900">
        <w:rPr>
          <w:rFonts w:cs="Arial"/>
          <w:sz w:val="18"/>
          <w:szCs w:val="18"/>
        </w:rPr>
        <w:t xml:space="preserve">. Proceedings: Pennsylvania Stormwater Management Symposium. Villanova University. Villanova, PA. As cited in USEPA. (2009). </w:t>
      </w:r>
      <w:r w:rsidRPr="00FE6900">
        <w:rPr>
          <w:rFonts w:cs="Arial"/>
          <w:i/>
          <w:sz w:val="18"/>
          <w:szCs w:val="18"/>
        </w:rPr>
        <w:t>Green Roofs for Stormwater Runoff Control</w:t>
      </w:r>
      <w:r w:rsidRPr="00FE6900">
        <w:rPr>
          <w:rFonts w:cs="Arial"/>
          <w:sz w:val="18"/>
          <w:szCs w:val="18"/>
        </w:rPr>
        <w:t>.  81 pp. Available at</w:t>
      </w:r>
      <w:r>
        <w:rPr>
          <w:rFonts w:cs="Arial"/>
          <w:sz w:val="18"/>
          <w:szCs w:val="18"/>
        </w:rPr>
        <w:t>:</w:t>
      </w:r>
      <w:r w:rsidRPr="00FE6900">
        <w:rPr>
          <w:rFonts w:cs="Arial"/>
          <w:sz w:val="18"/>
          <w:szCs w:val="18"/>
        </w:rPr>
        <w:t xml:space="preserve"> &lt;</w:t>
      </w:r>
      <w:hyperlink r:id="rId14" w:history="1">
        <w:r w:rsidRPr="00FE6900">
          <w:rPr>
            <w:rStyle w:val="Hyperlink"/>
            <w:rFonts w:cs="Arial"/>
            <w:color w:val="auto"/>
            <w:sz w:val="18"/>
            <w:szCs w:val="18"/>
          </w:rPr>
          <w:t>http://www.epa.gov/nrmrl/pubs/600r09026/600r09026.pdf</w:t>
        </w:r>
      </w:hyperlink>
      <w:r w:rsidRPr="00FE6900">
        <w:rPr>
          <w:rFonts w:cs="Arial"/>
          <w:sz w:val="18"/>
          <w:szCs w:val="18"/>
        </w:rPr>
        <w:t>&gt;.</w:t>
      </w:r>
    </w:p>
  </w:endnote>
  <w:endnote w:id="18">
    <w:p w:rsidR="00E659D3" w:rsidRPr="00FE6900" w:rsidRDefault="00E659D3" w:rsidP="003D5FE0">
      <w:pPr>
        <w:pStyle w:val="EndnoteText"/>
        <w:ind w:left="360" w:hanging="360"/>
        <w:rPr>
          <w:rFonts w:ascii="Arial" w:hAnsi="Arial" w:cs="Arial"/>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 Plumb, M. (2008). </w:t>
      </w:r>
      <w:r w:rsidRPr="00FE6900">
        <w:rPr>
          <w:rFonts w:ascii="Arial" w:hAnsi="Arial" w:cs="Arial"/>
          <w:i/>
          <w:sz w:val="18"/>
          <w:szCs w:val="18"/>
        </w:rPr>
        <w:t xml:space="preserve">Sustainable Raindrops: Cleaning New York Harbor by Greening the Urban Landscape.  </w:t>
      </w:r>
      <w:r w:rsidRPr="00FE6900">
        <w:rPr>
          <w:rFonts w:ascii="Arial" w:hAnsi="Arial" w:cs="Arial"/>
          <w:sz w:val="18"/>
          <w:szCs w:val="18"/>
        </w:rPr>
        <w:t xml:space="preserve">40 pp.  Available at: &lt; </w:t>
      </w:r>
      <w:hyperlink r:id="rId15" w:history="1">
        <w:r w:rsidRPr="00FE6900">
          <w:rPr>
            <w:rStyle w:val="Hyperlink"/>
            <w:rFonts w:ascii="Arial" w:hAnsi="Arial" w:cs="Arial"/>
            <w:color w:val="auto"/>
            <w:sz w:val="18"/>
            <w:szCs w:val="18"/>
          </w:rPr>
          <w:t>http://www.riverkeeper.org/wp-content/uploads/2009/06/Sustainable-Raindrops-Report-1-8-08.pdf</w:t>
        </w:r>
      </w:hyperlink>
      <w:r w:rsidRPr="00FE6900">
        <w:rPr>
          <w:rFonts w:ascii="Arial" w:hAnsi="Arial" w:cs="Arial"/>
          <w:sz w:val="18"/>
          <w:szCs w:val="18"/>
        </w:rPr>
        <w:t>&gt;.</w:t>
      </w:r>
    </w:p>
  </w:endnote>
  <w:endnote w:id="19">
    <w:p w:rsidR="00E659D3" w:rsidRPr="003D5FE0" w:rsidRDefault="00E659D3" w:rsidP="003D5FE0">
      <w:pPr>
        <w:autoSpaceDE w:val="0"/>
        <w:autoSpaceDN w:val="0"/>
        <w:adjustRightInd w:val="0"/>
        <w:ind w:left="360" w:hanging="360"/>
        <w:rPr>
          <w:rFonts w:cs="Arial"/>
          <w:i/>
          <w:iCs/>
          <w:sz w:val="18"/>
          <w:szCs w:val="18"/>
        </w:rPr>
      </w:pPr>
      <w:r w:rsidRPr="00FE6900">
        <w:rPr>
          <w:rStyle w:val="EndnoteReference"/>
          <w:rFonts w:cs="Arial"/>
          <w:sz w:val="18"/>
          <w:szCs w:val="18"/>
        </w:rPr>
        <w:endnoteRef/>
      </w:r>
      <w:r w:rsidRPr="00FE6900">
        <w:rPr>
          <w:rFonts w:cs="Arial"/>
          <w:sz w:val="18"/>
          <w:szCs w:val="18"/>
        </w:rPr>
        <w:t xml:space="preserve"> Barbara Deutsch, et al. (2005). </w:t>
      </w:r>
      <w:r w:rsidRPr="00FE6900">
        <w:rPr>
          <w:rFonts w:cs="Arial"/>
          <w:i/>
          <w:iCs/>
          <w:sz w:val="18"/>
          <w:szCs w:val="18"/>
        </w:rPr>
        <w:t xml:space="preserve">Re-Greening Washington, DC: A Green Roof Vision Based </w:t>
      </w:r>
      <w:r>
        <w:rPr>
          <w:rFonts w:cs="Arial"/>
          <w:i/>
          <w:iCs/>
          <w:sz w:val="18"/>
          <w:szCs w:val="18"/>
        </w:rPr>
        <w:t xml:space="preserve">On Storm Water and Air Quality </w:t>
      </w:r>
      <w:r w:rsidRPr="00FE6900">
        <w:rPr>
          <w:rFonts w:cs="Arial"/>
          <w:i/>
          <w:iCs/>
          <w:sz w:val="18"/>
          <w:szCs w:val="18"/>
        </w:rPr>
        <w:t>Benefits</w:t>
      </w:r>
      <w:r w:rsidRPr="00FE6900">
        <w:rPr>
          <w:rFonts w:cs="Arial"/>
          <w:sz w:val="18"/>
          <w:szCs w:val="18"/>
        </w:rPr>
        <w:t xml:space="preserve">, Casey Tree Endowment Fund and LimnoTech, Inc.,. as cited in Kloss, C and Calarusse, C.  (2006).  </w:t>
      </w:r>
      <w:r w:rsidRPr="00FE6900">
        <w:rPr>
          <w:rFonts w:cs="Arial"/>
          <w:i/>
          <w:sz w:val="18"/>
          <w:szCs w:val="18"/>
        </w:rPr>
        <w:t xml:space="preserve">Rooftops to Rivers: Green Strategies for Controlling Stormwater and Combined Sewer  Overflows.  </w:t>
      </w:r>
      <w:r w:rsidRPr="00FE6900">
        <w:rPr>
          <w:rFonts w:cs="Arial"/>
          <w:sz w:val="18"/>
          <w:szCs w:val="18"/>
        </w:rPr>
        <w:t>Prepared for the Natural Resources Defens</w:t>
      </w:r>
      <w:r>
        <w:rPr>
          <w:rFonts w:cs="Arial"/>
          <w:sz w:val="18"/>
          <w:szCs w:val="18"/>
        </w:rPr>
        <w:t xml:space="preserve">e Council.  56 pp. Available at: </w:t>
      </w:r>
      <w:r w:rsidRPr="00FE6900">
        <w:rPr>
          <w:rFonts w:cs="Arial"/>
          <w:sz w:val="18"/>
          <w:szCs w:val="18"/>
        </w:rPr>
        <w:t>&lt;</w:t>
      </w:r>
      <w:hyperlink r:id="rId16" w:history="1">
        <w:r w:rsidRPr="00FE6900">
          <w:rPr>
            <w:rStyle w:val="Hyperlink"/>
            <w:rFonts w:cs="Arial"/>
            <w:color w:val="auto"/>
            <w:sz w:val="18"/>
            <w:szCs w:val="18"/>
          </w:rPr>
          <w:t>http://www.nrdc.org/water/pollution/rooftops/contents.asp</w:t>
        </w:r>
      </w:hyperlink>
      <w:r w:rsidRPr="00FE6900">
        <w:rPr>
          <w:rFonts w:cs="Arial"/>
          <w:sz w:val="18"/>
          <w:szCs w:val="18"/>
        </w:rPr>
        <w:t>&gt;.</w:t>
      </w:r>
    </w:p>
  </w:endnote>
  <w:endnote w:id="20">
    <w:p w:rsidR="00E659D3" w:rsidRPr="003D5FE0" w:rsidRDefault="00E659D3" w:rsidP="003D5FE0">
      <w:pPr>
        <w:autoSpaceDE w:val="0"/>
        <w:autoSpaceDN w:val="0"/>
        <w:adjustRightInd w:val="0"/>
        <w:ind w:left="360" w:hanging="360"/>
        <w:rPr>
          <w:rFonts w:cs="Arial"/>
          <w:i/>
          <w:iCs/>
          <w:sz w:val="18"/>
          <w:szCs w:val="18"/>
        </w:rPr>
      </w:pPr>
      <w:r w:rsidRPr="00FE6900">
        <w:rPr>
          <w:rStyle w:val="EndnoteReference"/>
          <w:rFonts w:cs="Arial"/>
          <w:sz w:val="18"/>
          <w:szCs w:val="18"/>
        </w:rPr>
        <w:endnoteRef/>
      </w:r>
      <w:r w:rsidRPr="00FE6900">
        <w:rPr>
          <w:rFonts w:cs="Arial"/>
          <w:sz w:val="18"/>
          <w:szCs w:val="18"/>
        </w:rPr>
        <w:t xml:space="preserve"> Barbara Deutsch, et al. (2005). </w:t>
      </w:r>
      <w:r w:rsidRPr="00FE6900">
        <w:rPr>
          <w:rFonts w:cs="Arial"/>
          <w:i/>
          <w:iCs/>
          <w:sz w:val="18"/>
          <w:szCs w:val="18"/>
        </w:rPr>
        <w:t xml:space="preserve">Re-Greening Washington, DC: A Green Roof Vision Based </w:t>
      </w:r>
      <w:r>
        <w:rPr>
          <w:rFonts w:cs="Arial"/>
          <w:i/>
          <w:iCs/>
          <w:sz w:val="18"/>
          <w:szCs w:val="18"/>
        </w:rPr>
        <w:t xml:space="preserve">On Storm Water and Air Quality </w:t>
      </w:r>
      <w:r w:rsidRPr="00FE6900">
        <w:rPr>
          <w:rFonts w:cs="Arial"/>
          <w:i/>
          <w:iCs/>
          <w:sz w:val="18"/>
          <w:szCs w:val="18"/>
        </w:rPr>
        <w:t>Benefits</w:t>
      </w:r>
      <w:r w:rsidRPr="00FE6900">
        <w:rPr>
          <w:rFonts w:cs="Arial"/>
          <w:sz w:val="18"/>
          <w:szCs w:val="18"/>
        </w:rPr>
        <w:t xml:space="preserve">, Casey Tree Endowment Fund and LimnoTech, Inc.,. as cited in Kloss, C and Calarusse, C.  (2006).  </w:t>
      </w:r>
      <w:r w:rsidRPr="00FE6900">
        <w:rPr>
          <w:rFonts w:cs="Arial"/>
          <w:i/>
          <w:sz w:val="18"/>
          <w:szCs w:val="18"/>
        </w:rPr>
        <w:t xml:space="preserve">Rooftops to Rivers: Green Strategies for Controlling Stormwater and Combined Sewer  Overflows.  </w:t>
      </w:r>
      <w:r w:rsidRPr="00FE6900">
        <w:rPr>
          <w:rFonts w:cs="Arial"/>
          <w:sz w:val="18"/>
          <w:szCs w:val="18"/>
        </w:rPr>
        <w:t>Prepared for the Natural Resources Defens</w:t>
      </w:r>
      <w:r>
        <w:rPr>
          <w:rFonts w:cs="Arial"/>
          <w:sz w:val="18"/>
          <w:szCs w:val="18"/>
        </w:rPr>
        <w:t xml:space="preserve">e Council.  56 pp. Available at: </w:t>
      </w:r>
      <w:r w:rsidRPr="00FE6900">
        <w:rPr>
          <w:rFonts w:cs="Arial"/>
          <w:sz w:val="18"/>
          <w:szCs w:val="18"/>
        </w:rPr>
        <w:t>&lt;</w:t>
      </w:r>
      <w:hyperlink r:id="rId17" w:history="1">
        <w:r w:rsidRPr="00FE6900">
          <w:rPr>
            <w:rStyle w:val="Hyperlink"/>
            <w:rFonts w:cs="Arial"/>
            <w:color w:val="auto"/>
            <w:sz w:val="18"/>
            <w:szCs w:val="18"/>
          </w:rPr>
          <w:t>http://www.nrdc.org/water/pollution/rooftops/contents.asp</w:t>
        </w:r>
      </w:hyperlink>
      <w:r w:rsidRPr="00FE6900">
        <w:rPr>
          <w:rFonts w:cs="Arial"/>
          <w:sz w:val="18"/>
          <w:szCs w:val="18"/>
        </w:rPr>
        <w:t>&gt;.</w:t>
      </w:r>
    </w:p>
  </w:endnote>
  <w:endnote w:id="21">
    <w:p w:rsidR="00E659D3" w:rsidRPr="003D5FE0" w:rsidRDefault="00E659D3" w:rsidP="003D5FE0">
      <w:pPr>
        <w:pStyle w:val="EndnoteText"/>
        <w:ind w:left="360" w:hanging="360"/>
        <w:rPr>
          <w:rFonts w:ascii="Arial" w:hAnsi="Arial" w:cs="Arial"/>
          <w:i/>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 Pennsylvania Department of Environmental Protection, Bureau of Watershed Management.  (2006).  </w:t>
      </w:r>
      <w:r>
        <w:rPr>
          <w:rFonts w:ascii="Arial" w:hAnsi="Arial" w:cs="Arial"/>
          <w:i/>
          <w:sz w:val="18"/>
          <w:szCs w:val="18"/>
        </w:rPr>
        <w:t xml:space="preserve">Pennsylvania Stormwater </w:t>
      </w:r>
      <w:r w:rsidRPr="00FE6900">
        <w:rPr>
          <w:rFonts w:ascii="Arial" w:hAnsi="Arial" w:cs="Arial"/>
          <w:i/>
          <w:sz w:val="18"/>
          <w:szCs w:val="18"/>
        </w:rPr>
        <w:t xml:space="preserve">Best Management Practices Manual.  </w:t>
      </w:r>
      <w:r w:rsidRPr="00FE6900">
        <w:rPr>
          <w:rFonts w:ascii="Arial" w:hAnsi="Arial" w:cs="Arial"/>
          <w:sz w:val="18"/>
          <w:szCs w:val="18"/>
        </w:rPr>
        <w:t>685 pp.  Available at</w:t>
      </w:r>
      <w:r>
        <w:rPr>
          <w:rFonts w:ascii="Arial" w:hAnsi="Arial" w:cs="Arial"/>
          <w:i/>
          <w:sz w:val="18"/>
          <w:szCs w:val="18"/>
        </w:rPr>
        <w:t xml:space="preserve">: </w:t>
      </w:r>
      <w:r w:rsidRPr="00FE6900">
        <w:rPr>
          <w:rFonts w:ascii="Arial" w:hAnsi="Arial" w:cs="Arial"/>
          <w:i/>
          <w:sz w:val="18"/>
          <w:szCs w:val="18"/>
        </w:rPr>
        <w:t>&lt;</w:t>
      </w:r>
      <w:hyperlink r:id="rId18" w:history="1">
        <w:r w:rsidRPr="00FE6900">
          <w:rPr>
            <w:rStyle w:val="Hyperlink"/>
            <w:rFonts w:ascii="Arial" w:hAnsi="Arial" w:cs="Arial"/>
            <w:color w:val="auto"/>
            <w:sz w:val="18"/>
            <w:szCs w:val="18"/>
          </w:rPr>
          <w:t>http://www.elibrary.dep.state.pa.us/dsweb/View/Collection-8305</w:t>
        </w:r>
      </w:hyperlink>
      <w:r w:rsidRPr="00FE6900">
        <w:rPr>
          <w:rFonts w:ascii="Arial" w:hAnsi="Arial" w:cs="Arial"/>
          <w:sz w:val="18"/>
          <w:szCs w:val="18"/>
        </w:rPr>
        <w:t>&gt;.</w:t>
      </w:r>
    </w:p>
  </w:endnote>
  <w:endnote w:id="22">
    <w:p w:rsidR="00E659D3" w:rsidRPr="00FE6900" w:rsidRDefault="00E659D3" w:rsidP="003D5FE0">
      <w:pPr>
        <w:pStyle w:val="EndnoteText"/>
        <w:tabs>
          <w:tab w:val="left" w:pos="-90"/>
        </w:tabs>
        <w:ind w:left="360" w:hanging="360"/>
        <w:rPr>
          <w:rFonts w:ascii="Arial" w:hAnsi="Arial" w:cs="Arial"/>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 New York State Department of Environmental Conservation. (2010).  </w:t>
      </w:r>
      <w:r w:rsidRPr="00FE6900">
        <w:rPr>
          <w:rFonts w:ascii="Arial" w:hAnsi="Arial" w:cs="Arial"/>
          <w:i/>
          <w:iCs/>
          <w:sz w:val="18"/>
          <w:szCs w:val="18"/>
        </w:rPr>
        <w:t>New York State Stormwater Management Design Manual</w:t>
      </w:r>
      <w:r w:rsidRPr="00FE6900">
        <w:rPr>
          <w:rFonts w:ascii="Arial" w:hAnsi="Arial" w:cs="Arial"/>
          <w:sz w:val="18"/>
          <w:szCs w:val="18"/>
        </w:rPr>
        <w:t>. 642 pp. Available at</w:t>
      </w:r>
      <w:r>
        <w:rPr>
          <w:rFonts w:ascii="Arial" w:hAnsi="Arial" w:cs="Arial"/>
          <w:sz w:val="18"/>
          <w:szCs w:val="18"/>
        </w:rPr>
        <w:t>:</w:t>
      </w:r>
      <w:r w:rsidRPr="00FE6900">
        <w:rPr>
          <w:rFonts w:ascii="Arial" w:hAnsi="Arial" w:cs="Arial"/>
          <w:sz w:val="18"/>
          <w:szCs w:val="18"/>
        </w:rPr>
        <w:t xml:space="preserve"> &lt;</w:t>
      </w:r>
      <w:hyperlink r:id="rId19" w:history="1">
        <w:r w:rsidRPr="00FE6900">
          <w:rPr>
            <w:rStyle w:val="Hyperlink"/>
            <w:rFonts w:ascii="Arial" w:hAnsi="Arial" w:cs="Arial"/>
            <w:color w:val="auto"/>
            <w:sz w:val="18"/>
            <w:szCs w:val="18"/>
          </w:rPr>
          <w:t>http://www.dec.ny.gov/chemical/29072.html</w:t>
        </w:r>
      </w:hyperlink>
      <w:r w:rsidRPr="00FE6900">
        <w:rPr>
          <w:rFonts w:ascii="Arial" w:hAnsi="Arial" w:cs="Arial"/>
          <w:sz w:val="18"/>
          <w:szCs w:val="18"/>
        </w:rPr>
        <w:t>&gt;.</w:t>
      </w:r>
    </w:p>
  </w:endnote>
  <w:endnote w:id="23">
    <w:p w:rsidR="00E659D3" w:rsidRPr="003D5FE0" w:rsidRDefault="00E659D3" w:rsidP="003D5FE0">
      <w:pPr>
        <w:pStyle w:val="EndnoteText"/>
        <w:ind w:left="360" w:hanging="360"/>
        <w:rPr>
          <w:rFonts w:ascii="Arial" w:hAnsi="Arial" w:cs="Arial"/>
          <w:i/>
          <w:iCs/>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 New York State Department of Environmental Conservation. (2010).  </w:t>
      </w:r>
      <w:r w:rsidRPr="00FE6900">
        <w:rPr>
          <w:rFonts w:ascii="Arial" w:hAnsi="Arial" w:cs="Arial"/>
          <w:i/>
          <w:iCs/>
          <w:sz w:val="18"/>
          <w:szCs w:val="18"/>
        </w:rPr>
        <w:t>New York State Stormwa</w:t>
      </w:r>
      <w:r>
        <w:rPr>
          <w:rFonts w:ascii="Arial" w:hAnsi="Arial" w:cs="Arial"/>
          <w:i/>
          <w:iCs/>
          <w:sz w:val="18"/>
          <w:szCs w:val="18"/>
        </w:rPr>
        <w:t xml:space="preserve">ter Management Design </w:t>
      </w:r>
      <w:r w:rsidRPr="00FE6900">
        <w:rPr>
          <w:rFonts w:ascii="Arial" w:hAnsi="Arial" w:cs="Arial"/>
          <w:i/>
          <w:iCs/>
          <w:sz w:val="18"/>
          <w:szCs w:val="18"/>
        </w:rPr>
        <w:t>Manual</w:t>
      </w:r>
      <w:r w:rsidRPr="00FE6900">
        <w:rPr>
          <w:rFonts w:ascii="Arial" w:hAnsi="Arial" w:cs="Arial"/>
          <w:sz w:val="18"/>
          <w:szCs w:val="18"/>
        </w:rPr>
        <w:t>. 642 pp. Available at</w:t>
      </w:r>
      <w:r>
        <w:rPr>
          <w:rFonts w:ascii="Arial" w:hAnsi="Arial" w:cs="Arial"/>
          <w:sz w:val="18"/>
          <w:szCs w:val="18"/>
        </w:rPr>
        <w:t>:</w:t>
      </w:r>
      <w:r w:rsidRPr="00FE6900">
        <w:rPr>
          <w:rFonts w:ascii="Arial" w:hAnsi="Arial" w:cs="Arial"/>
          <w:sz w:val="18"/>
          <w:szCs w:val="18"/>
        </w:rPr>
        <w:t xml:space="preserve"> &lt;</w:t>
      </w:r>
      <w:hyperlink r:id="rId20" w:history="1">
        <w:r w:rsidRPr="00FE6900">
          <w:rPr>
            <w:rStyle w:val="Hyperlink"/>
            <w:rFonts w:ascii="Arial" w:hAnsi="Arial" w:cs="Arial"/>
            <w:color w:val="auto"/>
            <w:sz w:val="18"/>
            <w:szCs w:val="18"/>
          </w:rPr>
          <w:t>http://www.dec.ny.gov/chemical/29072.html</w:t>
        </w:r>
      </w:hyperlink>
      <w:r w:rsidRPr="00FE6900">
        <w:rPr>
          <w:rFonts w:ascii="Arial" w:hAnsi="Arial" w:cs="Arial"/>
          <w:sz w:val="18"/>
          <w:szCs w:val="18"/>
        </w:rPr>
        <w:t>&gt;.</w:t>
      </w:r>
    </w:p>
  </w:endnote>
  <w:endnote w:id="24">
    <w:p w:rsidR="00E659D3" w:rsidRPr="003D5FE0" w:rsidRDefault="00E659D3" w:rsidP="003D5FE0">
      <w:pPr>
        <w:pStyle w:val="EndnoteText"/>
        <w:ind w:left="360" w:hanging="360"/>
        <w:rPr>
          <w:rFonts w:ascii="Arial" w:hAnsi="Arial" w:cs="Arial"/>
          <w:i/>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 Peck, S. and M. Kuhn. </w:t>
      </w:r>
      <w:r w:rsidRPr="00FE6900">
        <w:rPr>
          <w:rFonts w:ascii="Arial" w:hAnsi="Arial" w:cs="Arial"/>
          <w:i/>
          <w:sz w:val="18"/>
          <w:szCs w:val="18"/>
        </w:rPr>
        <w:t>Design Guidelines for Green Roofs</w:t>
      </w:r>
      <w:r w:rsidRPr="00FE6900">
        <w:rPr>
          <w:rFonts w:ascii="Arial" w:hAnsi="Arial" w:cs="Arial"/>
          <w:sz w:val="18"/>
          <w:szCs w:val="18"/>
        </w:rPr>
        <w:t xml:space="preserve">. As cited in Plumb, M. (2008). </w:t>
      </w:r>
      <w:r w:rsidRPr="00FE6900">
        <w:rPr>
          <w:rFonts w:ascii="Arial" w:hAnsi="Arial" w:cs="Arial"/>
          <w:i/>
          <w:sz w:val="18"/>
          <w:szCs w:val="18"/>
        </w:rPr>
        <w:t>Sustainable Raindrops</w:t>
      </w:r>
      <w:r>
        <w:rPr>
          <w:rFonts w:ascii="Arial" w:hAnsi="Arial" w:cs="Arial"/>
          <w:i/>
          <w:sz w:val="18"/>
          <w:szCs w:val="18"/>
        </w:rPr>
        <w:t xml:space="preserve">: Cleaning </w:t>
      </w:r>
      <w:r w:rsidRPr="00FE6900">
        <w:rPr>
          <w:rFonts w:ascii="Arial" w:hAnsi="Arial" w:cs="Arial"/>
          <w:i/>
          <w:sz w:val="18"/>
          <w:szCs w:val="18"/>
        </w:rPr>
        <w:t xml:space="preserve">New York Harbor by Greening the Urban Landscape.  </w:t>
      </w:r>
      <w:r w:rsidRPr="00FE6900">
        <w:rPr>
          <w:rFonts w:ascii="Arial" w:hAnsi="Arial" w:cs="Arial"/>
          <w:sz w:val="18"/>
          <w:szCs w:val="18"/>
        </w:rPr>
        <w:t>40 pp.  Available at: &lt;</w:t>
      </w:r>
      <w:hyperlink r:id="rId21" w:history="1">
        <w:r w:rsidRPr="00FE6900">
          <w:rPr>
            <w:rStyle w:val="Hyperlink"/>
            <w:rFonts w:ascii="Arial" w:hAnsi="Arial" w:cs="Arial"/>
            <w:color w:val="auto"/>
            <w:sz w:val="18"/>
            <w:szCs w:val="18"/>
          </w:rPr>
          <w:t>http://www.riverkeeper.org/wp-content/uploads/2009/06/Sustainable-Raindrops-Report-1-8-08.pdf</w:t>
        </w:r>
      </w:hyperlink>
      <w:r w:rsidRPr="00FE6900">
        <w:rPr>
          <w:rFonts w:ascii="Arial" w:hAnsi="Arial" w:cs="Arial"/>
          <w:sz w:val="18"/>
          <w:szCs w:val="18"/>
        </w:rPr>
        <w:t>&gt;.</w:t>
      </w:r>
    </w:p>
  </w:endnote>
  <w:endnote w:id="25">
    <w:p w:rsidR="00E659D3" w:rsidRPr="00FE6900" w:rsidRDefault="00E659D3" w:rsidP="003D5FE0">
      <w:pPr>
        <w:pStyle w:val="EndnoteText"/>
        <w:tabs>
          <w:tab w:val="left" w:pos="-90"/>
        </w:tabs>
        <w:ind w:left="360" w:hanging="360"/>
        <w:rPr>
          <w:rFonts w:ascii="Arial" w:hAnsi="Arial" w:cs="Arial"/>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  New York State Department of Environmental Conservation. (2010).  </w:t>
      </w:r>
      <w:r w:rsidRPr="00FE6900">
        <w:rPr>
          <w:rFonts w:ascii="Arial" w:hAnsi="Arial" w:cs="Arial"/>
          <w:i/>
          <w:iCs/>
          <w:sz w:val="18"/>
          <w:szCs w:val="18"/>
        </w:rPr>
        <w:t>New York State Stormwater Management Design Manual</w:t>
      </w:r>
      <w:r w:rsidRPr="00FE6900">
        <w:rPr>
          <w:rFonts w:ascii="Arial" w:hAnsi="Arial" w:cs="Arial"/>
          <w:sz w:val="18"/>
          <w:szCs w:val="18"/>
        </w:rPr>
        <w:t>. 642 pp. Available at</w:t>
      </w:r>
      <w:r>
        <w:rPr>
          <w:rFonts w:ascii="Arial" w:hAnsi="Arial" w:cs="Arial"/>
          <w:sz w:val="18"/>
          <w:szCs w:val="18"/>
        </w:rPr>
        <w:t>:</w:t>
      </w:r>
      <w:r w:rsidRPr="00FE6900">
        <w:rPr>
          <w:rFonts w:ascii="Arial" w:hAnsi="Arial" w:cs="Arial"/>
          <w:sz w:val="18"/>
          <w:szCs w:val="18"/>
        </w:rPr>
        <w:t xml:space="preserve"> &lt;</w:t>
      </w:r>
      <w:hyperlink r:id="rId22" w:history="1">
        <w:r w:rsidRPr="00FE6900">
          <w:rPr>
            <w:rStyle w:val="Hyperlink"/>
            <w:rFonts w:ascii="Arial" w:hAnsi="Arial" w:cs="Arial"/>
            <w:color w:val="auto"/>
            <w:sz w:val="18"/>
            <w:szCs w:val="18"/>
          </w:rPr>
          <w:t>http://www.dec.ny.gov/chemical/29072.html</w:t>
        </w:r>
      </w:hyperlink>
      <w:r w:rsidRPr="00FE6900">
        <w:rPr>
          <w:rFonts w:ascii="Arial" w:hAnsi="Arial" w:cs="Arial"/>
          <w:sz w:val="18"/>
          <w:szCs w:val="18"/>
        </w:rPr>
        <w:t>&gt;.</w:t>
      </w:r>
    </w:p>
  </w:endnote>
  <w:endnote w:id="26">
    <w:p w:rsidR="00E659D3" w:rsidRPr="00FE6900" w:rsidRDefault="00E659D3" w:rsidP="003D5FE0">
      <w:pPr>
        <w:pStyle w:val="EndnoteText"/>
        <w:ind w:left="360" w:hanging="360"/>
        <w:rPr>
          <w:rFonts w:ascii="Arial" w:hAnsi="Arial" w:cs="Arial"/>
          <w:sz w:val="18"/>
          <w:szCs w:val="18"/>
        </w:rPr>
      </w:pPr>
      <w:r w:rsidRPr="00FE6900">
        <w:rPr>
          <w:rStyle w:val="EndnoteReference"/>
          <w:rFonts w:ascii="Arial" w:hAnsi="Arial" w:cs="Arial"/>
          <w:sz w:val="18"/>
          <w:szCs w:val="18"/>
        </w:rPr>
        <w:endnoteRef/>
      </w:r>
      <w:r w:rsidRPr="00FE6900">
        <w:rPr>
          <w:rFonts w:ascii="Arial" w:hAnsi="Arial" w:cs="Arial"/>
          <w:sz w:val="18"/>
          <w:szCs w:val="18"/>
        </w:rPr>
        <w:t xml:space="preserve"> City of Portland Environmental Services. (2008). </w:t>
      </w:r>
      <w:r w:rsidRPr="00FE6900">
        <w:rPr>
          <w:rFonts w:ascii="Arial" w:hAnsi="Arial" w:cs="Arial"/>
          <w:i/>
          <w:sz w:val="18"/>
          <w:szCs w:val="18"/>
        </w:rPr>
        <w:t xml:space="preserve">Cost Benefit Evaluation of Ecoroofs.  </w:t>
      </w:r>
      <w:r w:rsidRPr="00FE6900">
        <w:rPr>
          <w:rFonts w:ascii="Arial" w:hAnsi="Arial" w:cs="Arial"/>
          <w:sz w:val="18"/>
          <w:szCs w:val="18"/>
        </w:rPr>
        <w:t>42 pp.  Available at</w:t>
      </w:r>
      <w:r>
        <w:rPr>
          <w:rFonts w:ascii="Arial" w:hAnsi="Arial" w:cs="Arial"/>
          <w:sz w:val="18"/>
          <w:szCs w:val="18"/>
        </w:rPr>
        <w:t>:</w:t>
      </w:r>
      <w:r w:rsidRPr="00FE6900">
        <w:rPr>
          <w:rFonts w:ascii="Arial" w:hAnsi="Arial" w:cs="Arial"/>
          <w:sz w:val="18"/>
          <w:szCs w:val="18"/>
        </w:rPr>
        <w:t xml:space="preserve"> &lt;</w:t>
      </w:r>
      <w:hyperlink r:id="rId23" w:history="1">
        <w:r w:rsidRPr="00FE6900">
          <w:rPr>
            <w:rStyle w:val="Hyperlink"/>
            <w:rFonts w:ascii="Arial" w:hAnsi="Arial" w:cs="Arial"/>
            <w:color w:val="auto"/>
            <w:sz w:val="18"/>
            <w:szCs w:val="18"/>
          </w:rPr>
          <w:t>http://www.portlandonline.com/BES/index.cfm?a=261053&amp;c=50818</w:t>
        </w:r>
      </w:hyperlink>
      <w:r w:rsidRPr="00FE6900">
        <w:rPr>
          <w:rFonts w:ascii="Arial" w:hAnsi="Arial" w:cs="Arial"/>
          <w:sz w:val="18"/>
          <w:szCs w:val="18"/>
        </w:rPr>
        <w:t>&gt;.</w:t>
      </w:r>
    </w:p>
    <w:p w:rsidR="00E659D3" w:rsidRPr="00FE6900" w:rsidRDefault="00E659D3" w:rsidP="005F74AA">
      <w:pPr>
        <w:pStyle w:val="EndnoteText"/>
        <w:ind w:firstLine="360"/>
        <w:rPr>
          <w:rFonts w:ascii="Times New Roman" w:hAnsi="Times New Roman"/>
          <w:sz w:val="18"/>
          <w:szCs w:val="18"/>
        </w:rPr>
      </w:pPr>
    </w:p>
    <w:p w:rsidR="00E659D3" w:rsidRPr="00FE6900" w:rsidRDefault="00E659D3" w:rsidP="005F74AA">
      <w:pPr>
        <w:pStyle w:val="EndnoteText"/>
        <w:rPr>
          <w:rFonts w:ascii="Times New Roman" w:hAnsi="Times New Roman"/>
          <w:b/>
          <w:sz w:val="18"/>
          <w:szCs w:val="18"/>
        </w:rPr>
      </w:pPr>
    </w:p>
    <w:p w:rsidR="00E659D3" w:rsidRPr="003D5FE0" w:rsidRDefault="00E659D3" w:rsidP="005F74AA">
      <w:pPr>
        <w:pStyle w:val="EndnoteText"/>
        <w:rPr>
          <w:rFonts w:ascii="Arial" w:hAnsi="Arial" w:cs="Arial"/>
          <w:b/>
          <w:sz w:val="18"/>
          <w:szCs w:val="18"/>
        </w:rPr>
      </w:pPr>
      <w:r w:rsidRPr="003D5FE0">
        <w:rPr>
          <w:rFonts w:ascii="Arial" w:hAnsi="Arial" w:cs="Arial"/>
          <w:b/>
          <w:sz w:val="18"/>
          <w:szCs w:val="18"/>
        </w:rPr>
        <w:t>Additional Resources for Green Roofs:</w:t>
      </w:r>
    </w:p>
    <w:p w:rsidR="00E659D3" w:rsidRPr="003D5FE0" w:rsidRDefault="00E659D3" w:rsidP="009D0A2B">
      <w:pPr>
        <w:pStyle w:val="EndnoteText"/>
        <w:rPr>
          <w:rFonts w:ascii="Arial" w:hAnsi="Arial" w:cs="Arial"/>
          <w:b/>
          <w:sz w:val="18"/>
          <w:szCs w:val="18"/>
        </w:rPr>
      </w:pPr>
    </w:p>
    <w:p w:rsidR="00E659D3" w:rsidRPr="003D5FE0" w:rsidRDefault="00E659D3" w:rsidP="009D0A2B">
      <w:pPr>
        <w:pStyle w:val="bullet"/>
        <w:numPr>
          <w:ilvl w:val="0"/>
          <w:numId w:val="42"/>
        </w:numPr>
        <w:tabs>
          <w:tab w:val="left" w:pos="720"/>
        </w:tabs>
        <w:rPr>
          <w:sz w:val="18"/>
          <w:szCs w:val="18"/>
        </w:rPr>
      </w:pPr>
      <w:r w:rsidRPr="003D5FE0">
        <w:rPr>
          <w:i/>
          <w:sz w:val="18"/>
          <w:szCs w:val="18"/>
        </w:rPr>
        <w:t xml:space="preserve">Green Roofs for Healthy Cities, Green Roofs Tree of Knowledge </w:t>
      </w:r>
      <w:r w:rsidRPr="003D5FE0">
        <w:rPr>
          <w:sz w:val="18"/>
          <w:szCs w:val="18"/>
        </w:rPr>
        <w:t>Web site</w:t>
      </w:r>
      <w:r w:rsidRPr="003D5FE0">
        <w:rPr>
          <w:i/>
          <w:sz w:val="18"/>
          <w:szCs w:val="18"/>
        </w:rPr>
        <w:t xml:space="preserve"> </w:t>
      </w:r>
      <w:r w:rsidRPr="003D5FE0">
        <w:rPr>
          <w:sz w:val="18"/>
          <w:szCs w:val="18"/>
        </w:rPr>
        <w:t>(</w:t>
      </w:r>
      <w:hyperlink r:id="rId24" w:history="1">
        <w:r w:rsidRPr="003D5FE0">
          <w:rPr>
            <w:rStyle w:val="Hyperlink"/>
            <w:color w:val="auto"/>
            <w:sz w:val="18"/>
            <w:szCs w:val="18"/>
          </w:rPr>
          <w:t>http://greenroofs.org/grtok/</w:t>
        </w:r>
      </w:hyperlink>
      <w:r w:rsidRPr="003D5FE0">
        <w:rPr>
          <w:sz w:val="18"/>
          <w:szCs w:val="18"/>
        </w:rPr>
        <w:t>) Contains searchable database on green roofs research (including design and costs/benefits) and policy.</w:t>
      </w:r>
    </w:p>
    <w:p w:rsidR="00E659D3" w:rsidRPr="003D5FE0" w:rsidRDefault="00E659D3" w:rsidP="009D0A2B">
      <w:pPr>
        <w:pStyle w:val="bullet"/>
        <w:numPr>
          <w:ilvl w:val="0"/>
          <w:numId w:val="42"/>
        </w:numPr>
        <w:tabs>
          <w:tab w:val="left" w:pos="720"/>
        </w:tabs>
        <w:rPr>
          <w:sz w:val="18"/>
          <w:szCs w:val="18"/>
        </w:rPr>
      </w:pPr>
      <w:r w:rsidRPr="003D5FE0">
        <w:rPr>
          <w:i/>
          <w:sz w:val="18"/>
          <w:szCs w:val="18"/>
        </w:rPr>
        <w:t xml:space="preserve">Green Roofs for Healthy Cities, Green Save Calculator </w:t>
      </w:r>
      <w:r w:rsidRPr="003D5FE0">
        <w:rPr>
          <w:sz w:val="18"/>
          <w:szCs w:val="18"/>
        </w:rPr>
        <w:t>(</w:t>
      </w:r>
      <w:hyperlink r:id="rId25" w:history="1">
        <w:r w:rsidRPr="003D5FE0">
          <w:rPr>
            <w:rStyle w:val="Hyperlink"/>
            <w:color w:val="auto"/>
            <w:sz w:val="18"/>
            <w:szCs w:val="18"/>
          </w:rPr>
          <w:t>http://www.greenroofs.org/index.php/greensavecalc</w:t>
        </w:r>
      </w:hyperlink>
      <w:r w:rsidRPr="003D5FE0">
        <w:rPr>
          <w:sz w:val="18"/>
          <w:szCs w:val="18"/>
        </w:rPr>
        <w:t>) Allows user to compare cost of green roofs with conventional roofing systems.</w:t>
      </w:r>
    </w:p>
    <w:p w:rsidR="00E659D3" w:rsidRPr="003D5FE0" w:rsidRDefault="00E659D3" w:rsidP="009D0A2B">
      <w:pPr>
        <w:pStyle w:val="bullet"/>
        <w:numPr>
          <w:ilvl w:val="0"/>
          <w:numId w:val="42"/>
        </w:numPr>
        <w:tabs>
          <w:tab w:val="left" w:pos="720"/>
        </w:tabs>
        <w:rPr>
          <w:b/>
          <w:i/>
          <w:sz w:val="18"/>
          <w:szCs w:val="18"/>
        </w:rPr>
      </w:pPr>
      <w:r w:rsidRPr="003D5FE0">
        <w:rPr>
          <w:i/>
          <w:sz w:val="18"/>
          <w:szCs w:val="18"/>
        </w:rPr>
        <w:t>North Carolina State University, Green Roof Research</w:t>
      </w:r>
      <w:r w:rsidRPr="003D5FE0">
        <w:rPr>
          <w:sz w:val="18"/>
          <w:szCs w:val="18"/>
        </w:rPr>
        <w:t xml:space="preserve"> Web site, (</w:t>
      </w:r>
      <w:hyperlink r:id="rId26" w:history="1">
        <w:r w:rsidRPr="003D5FE0">
          <w:rPr>
            <w:rStyle w:val="Hyperlink"/>
            <w:color w:val="auto"/>
            <w:sz w:val="18"/>
            <w:szCs w:val="18"/>
          </w:rPr>
          <w:t>http://www.bae.ncsu.edu/greenroofs/</w:t>
        </w:r>
      </w:hyperlink>
      <w:r w:rsidRPr="003D5FE0">
        <w:rPr>
          <w:sz w:val="18"/>
          <w:szCs w:val="18"/>
        </w:rPr>
        <w:t>)  Contains background information and current performance research on green roofs.</w:t>
      </w:r>
    </w:p>
    <w:p w:rsidR="00E659D3" w:rsidRPr="003D5FE0" w:rsidRDefault="00E659D3" w:rsidP="009D0A2B">
      <w:pPr>
        <w:pStyle w:val="bullet"/>
        <w:numPr>
          <w:ilvl w:val="0"/>
          <w:numId w:val="42"/>
        </w:numPr>
        <w:tabs>
          <w:tab w:val="left" w:pos="720"/>
        </w:tabs>
        <w:rPr>
          <w:rStyle w:val="Bold"/>
          <w:sz w:val="18"/>
          <w:szCs w:val="18"/>
        </w:rPr>
      </w:pPr>
      <w:r w:rsidRPr="003D5FE0">
        <w:rPr>
          <w:i/>
          <w:sz w:val="18"/>
          <w:szCs w:val="18"/>
        </w:rPr>
        <w:t>Penn State, Center for Green Roof Research</w:t>
      </w:r>
      <w:r w:rsidRPr="003D5FE0">
        <w:rPr>
          <w:sz w:val="18"/>
          <w:szCs w:val="18"/>
        </w:rPr>
        <w:t xml:space="preserve"> Web site, (</w:t>
      </w:r>
      <w:hyperlink r:id="rId27" w:history="1">
        <w:r w:rsidRPr="003D5FE0">
          <w:rPr>
            <w:rStyle w:val="Hyperlink"/>
            <w:color w:val="auto"/>
            <w:sz w:val="18"/>
            <w:szCs w:val="18"/>
          </w:rPr>
          <w:t>http://horticulture.psu.edu/cms/greenroofcenter/</w:t>
        </w:r>
      </w:hyperlink>
      <w:r w:rsidRPr="003D5FE0">
        <w:rPr>
          <w:sz w:val="18"/>
          <w:szCs w:val="18"/>
        </w:rPr>
        <w:t>)  Contains current performance research data related to green roofs.</w:t>
      </w:r>
    </w:p>
    <w:p w:rsidR="00E659D3" w:rsidRPr="006F4BC1" w:rsidRDefault="00E659D3" w:rsidP="009D0A2B">
      <w:pPr>
        <w:pStyle w:val="bullet"/>
        <w:numPr>
          <w:ilvl w:val="0"/>
          <w:numId w:val="42"/>
        </w:numPr>
        <w:rPr>
          <w:i/>
        </w:rPr>
      </w:pPr>
      <w:r w:rsidRPr="003D5FE0">
        <w:rPr>
          <w:i/>
          <w:sz w:val="18"/>
          <w:szCs w:val="18"/>
        </w:rPr>
        <w:t>Virginia Department of Conservation and Recreation, Stormwater Design Specifications (</w:t>
      </w:r>
      <w:hyperlink r:id="rId28" w:history="1">
        <w:r w:rsidRPr="003D5FE0">
          <w:rPr>
            <w:rStyle w:val="Hyperlink"/>
            <w:color w:val="auto"/>
            <w:sz w:val="18"/>
            <w:szCs w:val="18"/>
          </w:rPr>
          <w:t>http://www.chesapeakestormwater.net/storage/first-draft-baywide-design-specificationsi/BAYWIDE%20No%205%20GREEN%20ROOF%20DESIGN%20SPECFICATION.pdf</w:t>
        </w:r>
      </w:hyperlink>
      <w:r w:rsidRPr="003D5FE0">
        <w:rPr>
          <w:sz w:val="18"/>
          <w:szCs w:val="18"/>
        </w:rPr>
        <w:t>). Contains design specifications for green roofs.</w:t>
      </w:r>
    </w:p>
  </w:endnote>
  <w:endnote w:id="27">
    <w:p w:rsidR="00E659D3" w:rsidRPr="003D5FE0" w:rsidRDefault="00E659D3" w:rsidP="003D5FE0">
      <w:pPr>
        <w:pStyle w:val="EndnoteText"/>
        <w:tabs>
          <w:tab w:val="left" w:pos="-90"/>
        </w:tabs>
        <w:ind w:left="360" w:hanging="360"/>
        <w:rPr>
          <w:rFonts w:ascii="Arial" w:hAnsi="Arial" w:cs="Arial"/>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New York State Department of Environmental Conservation. (2010).  </w:t>
      </w:r>
      <w:r w:rsidRPr="003D5FE0">
        <w:rPr>
          <w:rFonts w:ascii="Arial" w:hAnsi="Arial" w:cs="Arial"/>
          <w:i/>
          <w:sz w:val="18"/>
          <w:szCs w:val="18"/>
        </w:rPr>
        <w:t>New York State Stormwater Management Design   Manual</w:t>
      </w:r>
      <w:r w:rsidRPr="003D5FE0">
        <w:rPr>
          <w:rFonts w:ascii="Arial" w:hAnsi="Arial" w:cs="Arial"/>
          <w:sz w:val="18"/>
          <w:szCs w:val="18"/>
        </w:rPr>
        <w:t>. 642 pp. Available at</w:t>
      </w:r>
      <w:r>
        <w:rPr>
          <w:rFonts w:ascii="Arial" w:hAnsi="Arial" w:cs="Arial"/>
          <w:sz w:val="18"/>
          <w:szCs w:val="18"/>
        </w:rPr>
        <w:t>:</w:t>
      </w:r>
      <w:r w:rsidRPr="003D5FE0">
        <w:rPr>
          <w:rFonts w:ascii="Arial" w:hAnsi="Arial" w:cs="Arial"/>
          <w:sz w:val="18"/>
          <w:szCs w:val="18"/>
        </w:rPr>
        <w:t xml:space="preserve"> &lt;</w:t>
      </w:r>
      <w:hyperlink r:id="rId29" w:history="1">
        <w:r w:rsidRPr="003D5FE0">
          <w:rPr>
            <w:rStyle w:val="Hyperlink"/>
            <w:rFonts w:ascii="Arial" w:hAnsi="Arial" w:cs="Arial"/>
            <w:color w:val="auto"/>
            <w:sz w:val="18"/>
            <w:szCs w:val="18"/>
          </w:rPr>
          <w:t>http://www.dec.ny.gov/chemical/29072.html</w:t>
        </w:r>
      </w:hyperlink>
      <w:r w:rsidRPr="003D5FE0">
        <w:rPr>
          <w:rFonts w:ascii="Arial" w:hAnsi="Arial" w:cs="Arial"/>
          <w:sz w:val="18"/>
          <w:szCs w:val="18"/>
        </w:rPr>
        <w:t>&gt;.</w:t>
      </w:r>
    </w:p>
  </w:endnote>
  <w:endnote w:id="28">
    <w:p w:rsidR="00E659D3" w:rsidRPr="003D5FE0" w:rsidRDefault="00E659D3" w:rsidP="003D5FE0">
      <w:pPr>
        <w:pStyle w:val="EndnoteText"/>
        <w:tabs>
          <w:tab w:val="left" w:pos="-90"/>
        </w:tabs>
        <w:ind w:left="360" w:hanging="360"/>
        <w:rPr>
          <w:rFonts w:ascii="Arial" w:hAnsi="Arial" w:cs="Arial"/>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Clean Water Campaign.  </w:t>
      </w:r>
      <w:r w:rsidRPr="003D5FE0">
        <w:rPr>
          <w:rFonts w:ascii="Arial" w:hAnsi="Arial" w:cs="Arial"/>
          <w:i/>
          <w:sz w:val="18"/>
          <w:szCs w:val="18"/>
        </w:rPr>
        <w:t xml:space="preserve">Rain Gardens for Home Landscapes.  </w:t>
      </w:r>
      <w:r w:rsidRPr="003D5FE0">
        <w:rPr>
          <w:rFonts w:ascii="Arial" w:hAnsi="Arial" w:cs="Arial"/>
          <w:sz w:val="18"/>
          <w:szCs w:val="18"/>
        </w:rPr>
        <w:t>2 pp. Available at</w:t>
      </w:r>
      <w:r>
        <w:rPr>
          <w:rFonts w:ascii="Arial" w:hAnsi="Arial" w:cs="Arial"/>
          <w:sz w:val="18"/>
          <w:szCs w:val="18"/>
        </w:rPr>
        <w:t>:</w:t>
      </w:r>
      <w:r w:rsidRPr="003D5FE0">
        <w:rPr>
          <w:rFonts w:ascii="Arial" w:hAnsi="Arial" w:cs="Arial"/>
          <w:sz w:val="18"/>
          <w:szCs w:val="18"/>
        </w:rPr>
        <w:t xml:space="preserve"> &lt;</w:t>
      </w:r>
      <w:hyperlink r:id="rId30" w:history="1">
        <w:r w:rsidRPr="003D5FE0">
          <w:rPr>
            <w:rStyle w:val="Hyperlink"/>
            <w:rFonts w:ascii="Arial" w:hAnsi="Arial" w:cs="Arial"/>
            <w:color w:val="auto"/>
            <w:sz w:val="18"/>
            <w:szCs w:val="18"/>
          </w:rPr>
          <w:t>http://www.epa.gov/owow_keep/NPS/toolbox/other/cwc_raingardenbrochure.pdf</w:t>
        </w:r>
      </w:hyperlink>
      <w:r w:rsidRPr="003D5FE0">
        <w:rPr>
          <w:rFonts w:ascii="Arial" w:hAnsi="Arial" w:cs="Arial"/>
          <w:sz w:val="18"/>
          <w:szCs w:val="18"/>
        </w:rPr>
        <w:t>&gt;.</w:t>
      </w:r>
    </w:p>
  </w:endnote>
  <w:endnote w:id="29">
    <w:p w:rsidR="00E659D3" w:rsidRPr="003D5FE0" w:rsidRDefault="00E659D3" w:rsidP="003D5FE0">
      <w:pPr>
        <w:pStyle w:val="EndnoteText"/>
        <w:tabs>
          <w:tab w:val="left" w:pos="-90"/>
        </w:tabs>
        <w:ind w:left="360" w:hanging="360"/>
        <w:rPr>
          <w:rFonts w:ascii="Arial" w:hAnsi="Arial" w:cs="Arial"/>
          <w:i/>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New York State Department of Environmental Conservation. (2010).  </w:t>
      </w:r>
      <w:r w:rsidRPr="003D5FE0">
        <w:rPr>
          <w:rFonts w:ascii="Arial" w:hAnsi="Arial" w:cs="Arial"/>
          <w:i/>
          <w:sz w:val="18"/>
          <w:szCs w:val="18"/>
        </w:rPr>
        <w:t>New York State Stormw</w:t>
      </w:r>
      <w:r>
        <w:rPr>
          <w:rFonts w:ascii="Arial" w:hAnsi="Arial" w:cs="Arial"/>
          <w:i/>
          <w:sz w:val="18"/>
          <w:szCs w:val="18"/>
        </w:rPr>
        <w:t xml:space="preserve">ater Management </w:t>
      </w:r>
      <w:r w:rsidRPr="003D5FE0">
        <w:rPr>
          <w:rFonts w:ascii="Arial" w:hAnsi="Arial" w:cs="Arial"/>
          <w:i/>
          <w:sz w:val="18"/>
          <w:szCs w:val="18"/>
        </w:rPr>
        <w:t>Design Manual</w:t>
      </w:r>
      <w:r w:rsidRPr="003D5FE0">
        <w:rPr>
          <w:rFonts w:ascii="Arial" w:hAnsi="Arial" w:cs="Arial"/>
          <w:sz w:val="18"/>
          <w:szCs w:val="18"/>
        </w:rPr>
        <w:t>. 642 pp. Available at</w:t>
      </w:r>
      <w:r>
        <w:rPr>
          <w:rFonts w:ascii="Arial" w:hAnsi="Arial" w:cs="Arial"/>
          <w:sz w:val="18"/>
          <w:szCs w:val="18"/>
        </w:rPr>
        <w:t>:</w:t>
      </w:r>
      <w:r w:rsidRPr="003D5FE0">
        <w:rPr>
          <w:rFonts w:ascii="Arial" w:hAnsi="Arial" w:cs="Arial"/>
          <w:sz w:val="18"/>
          <w:szCs w:val="18"/>
        </w:rPr>
        <w:t xml:space="preserve"> &lt;</w:t>
      </w:r>
      <w:hyperlink r:id="rId31" w:history="1">
        <w:r w:rsidRPr="003D5FE0">
          <w:rPr>
            <w:rStyle w:val="Hyperlink"/>
            <w:rFonts w:ascii="Arial" w:hAnsi="Arial" w:cs="Arial"/>
            <w:color w:val="auto"/>
            <w:sz w:val="18"/>
            <w:szCs w:val="18"/>
          </w:rPr>
          <w:t>http://www.dec.ny.gov/chemical/29072.html</w:t>
        </w:r>
      </w:hyperlink>
      <w:r w:rsidRPr="003D5FE0">
        <w:rPr>
          <w:rFonts w:ascii="Arial" w:hAnsi="Arial" w:cs="Arial"/>
          <w:sz w:val="18"/>
          <w:szCs w:val="18"/>
        </w:rPr>
        <w:t>&gt;.</w:t>
      </w:r>
    </w:p>
  </w:endnote>
  <w:endnote w:id="30">
    <w:p w:rsidR="00E659D3" w:rsidRPr="003D5FE0" w:rsidRDefault="00E659D3" w:rsidP="003D5FE0">
      <w:pPr>
        <w:pStyle w:val="EndnoteText"/>
        <w:tabs>
          <w:tab w:val="left" w:pos="-90"/>
        </w:tabs>
        <w:ind w:left="360" w:hanging="360"/>
        <w:rPr>
          <w:rFonts w:ascii="Arial" w:hAnsi="Arial" w:cs="Arial"/>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Wisconsin Department of Natural Resources.  (2003).  </w:t>
      </w:r>
      <w:r w:rsidRPr="003D5FE0">
        <w:rPr>
          <w:rFonts w:ascii="Arial" w:hAnsi="Arial" w:cs="Arial"/>
          <w:i/>
          <w:sz w:val="18"/>
          <w:szCs w:val="18"/>
        </w:rPr>
        <w:t xml:space="preserve">Rain Gardens: A how-to manual for homeowners.  </w:t>
      </w:r>
      <w:r w:rsidRPr="003D5FE0">
        <w:rPr>
          <w:rFonts w:ascii="Arial" w:hAnsi="Arial" w:cs="Arial"/>
          <w:sz w:val="18"/>
          <w:szCs w:val="18"/>
        </w:rPr>
        <w:t>32 pp. Available at</w:t>
      </w:r>
      <w:r>
        <w:rPr>
          <w:rFonts w:ascii="Arial" w:hAnsi="Arial" w:cs="Arial"/>
          <w:sz w:val="18"/>
          <w:szCs w:val="18"/>
        </w:rPr>
        <w:t>:</w:t>
      </w:r>
      <w:r w:rsidRPr="003D5FE0">
        <w:rPr>
          <w:rFonts w:ascii="Arial" w:hAnsi="Arial" w:cs="Arial"/>
          <w:sz w:val="18"/>
          <w:szCs w:val="18"/>
        </w:rPr>
        <w:t xml:space="preserve"> &lt;</w:t>
      </w:r>
      <w:hyperlink r:id="rId32" w:history="1">
        <w:r w:rsidRPr="003D5FE0">
          <w:rPr>
            <w:rStyle w:val="Hyperlink"/>
            <w:rFonts w:ascii="Arial" w:hAnsi="Arial" w:cs="Arial"/>
            <w:color w:val="auto"/>
            <w:sz w:val="18"/>
            <w:szCs w:val="18"/>
          </w:rPr>
          <w:t>http://dnr.wi.gov/org/water/wm/dsfm/shore/documents/rgmanual.pdf</w:t>
        </w:r>
      </w:hyperlink>
      <w:r w:rsidRPr="003D5FE0">
        <w:rPr>
          <w:rFonts w:ascii="Arial" w:hAnsi="Arial" w:cs="Arial"/>
          <w:sz w:val="18"/>
          <w:szCs w:val="18"/>
        </w:rPr>
        <w:t>&gt;.</w:t>
      </w:r>
    </w:p>
  </w:endnote>
  <w:endnote w:id="31">
    <w:p w:rsidR="00E659D3" w:rsidRPr="003D5FE0" w:rsidRDefault="00E659D3" w:rsidP="003D5FE0">
      <w:pPr>
        <w:pStyle w:val="EndnoteText"/>
        <w:tabs>
          <w:tab w:val="left" w:pos="-90"/>
        </w:tabs>
        <w:ind w:left="360" w:hanging="360"/>
        <w:rPr>
          <w:rFonts w:ascii="Arial" w:hAnsi="Arial" w:cs="Arial"/>
          <w:i/>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Pennsylvania Department of Environmental Protection, Bureau of Watershed Management.  (2006).  </w:t>
      </w:r>
      <w:r>
        <w:rPr>
          <w:rFonts w:ascii="Arial" w:hAnsi="Arial" w:cs="Arial"/>
          <w:i/>
          <w:sz w:val="18"/>
          <w:szCs w:val="18"/>
        </w:rPr>
        <w:t xml:space="preserve">Pennsylvania Stormwater </w:t>
      </w:r>
      <w:r w:rsidRPr="003D5FE0">
        <w:rPr>
          <w:rFonts w:ascii="Arial" w:hAnsi="Arial" w:cs="Arial"/>
          <w:i/>
          <w:sz w:val="18"/>
          <w:szCs w:val="18"/>
        </w:rPr>
        <w:t xml:space="preserve">Best Management Practices Manual.  </w:t>
      </w:r>
      <w:r w:rsidRPr="003D5FE0">
        <w:rPr>
          <w:rFonts w:ascii="Arial" w:hAnsi="Arial" w:cs="Arial"/>
          <w:sz w:val="18"/>
          <w:szCs w:val="18"/>
        </w:rPr>
        <w:t>685 pp.  Available at</w:t>
      </w:r>
      <w:r>
        <w:rPr>
          <w:rFonts w:ascii="Arial" w:hAnsi="Arial" w:cs="Arial"/>
          <w:sz w:val="18"/>
          <w:szCs w:val="18"/>
        </w:rPr>
        <w:t>:</w:t>
      </w:r>
      <w:r>
        <w:rPr>
          <w:rFonts w:ascii="Arial" w:hAnsi="Arial" w:cs="Arial"/>
          <w:i/>
          <w:sz w:val="18"/>
          <w:szCs w:val="18"/>
        </w:rPr>
        <w:t xml:space="preserve"> </w:t>
      </w:r>
      <w:r w:rsidRPr="003D5FE0">
        <w:rPr>
          <w:rFonts w:ascii="Arial" w:hAnsi="Arial" w:cs="Arial"/>
          <w:i/>
          <w:sz w:val="18"/>
          <w:szCs w:val="18"/>
        </w:rPr>
        <w:t>&lt;</w:t>
      </w:r>
      <w:hyperlink r:id="rId33" w:history="1">
        <w:r w:rsidRPr="003D5FE0">
          <w:rPr>
            <w:rStyle w:val="Hyperlink"/>
            <w:rFonts w:ascii="Arial" w:hAnsi="Arial" w:cs="Arial"/>
            <w:color w:val="auto"/>
            <w:sz w:val="18"/>
            <w:szCs w:val="18"/>
          </w:rPr>
          <w:t>http://www.elibrary.dep.state.pa.us/dsweb/View/Collection-8305</w:t>
        </w:r>
      </w:hyperlink>
      <w:r w:rsidRPr="003D5FE0">
        <w:rPr>
          <w:rFonts w:ascii="Arial" w:hAnsi="Arial" w:cs="Arial"/>
          <w:sz w:val="18"/>
          <w:szCs w:val="18"/>
        </w:rPr>
        <w:t>&gt;.</w:t>
      </w:r>
    </w:p>
  </w:endnote>
  <w:endnote w:id="32">
    <w:p w:rsidR="00E659D3" w:rsidRPr="003D5FE0" w:rsidRDefault="00E659D3" w:rsidP="003D5FE0">
      <w:pPr>
        <w:pStyle w:val="EndnoteText"/>
        <w:tabs>
          <w:tab w:val="left" w:pos="-90"/>
        </w:tabs>
        <w:ind w:left="360" w:hanging="360"/>
        <w:rPr>
          <w:rFonts w:ascii="Arial" w:hAnsi="Arial" w:cs="Arial"/>
          <w:i/>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New York State Department of Environmental Conservation. (2010).  </w:t>
      </w:r>
      <w:r w:rsidRPr="003D5FE0">
        <w:rPr>
          <w:rFonts w:ascii="Arial" w:hAnsi="Arial" w:cs="Arial"/>
          <w:i/>
          <w:sz w:val="18"/>
          <w:szCs w:val="18"/>
        </w:rPr>
        <w:t>New York State Stormwater Management Design Manual</w:t>
      </w:r>
      <w:r w:rsidRPr="003D5FE0">
        <w:rPr>
          <w:rFonts w:ascii="Arial" w:hAnsi="Arial" w:cs="Arial"/>
          <w:sz w:val="18"/>
          <w:szCs w:val="18"/>
        </w:rPr>
        <w:t>. 642 pp. Available at</w:t>
      </w:r>
      <w:r>
        <w:rPr>
          <w:rFonts w:ascii="Arial" w:hAnsi="Arial" w:cs="Arial"/>
          <w:sz w:val="18"/>
          <w:szCs w:val="18"/>
        </w:rPr>
        <w:t>:</w:t>
      </w:r>
      <w:r w:rsidRPr="003D5FE0">
        <w:rPr>
          <w:rFonts w:ascii="Arial" w:hAnsi="Arial" w:cs="Arial"/>
          <w:sz w:val="18"/>
          <w:szCs w:val="18"/>
        </w:rPr>
        <w:t xml:space="preserve"> &lt;</w:t>
      </w:r>
      <w:hyperlink r:id="rId34" w:history="1">
        <w:r w:rsidRPr="003D5FE0">
          <w:rPr>
            <w:rStyle w:val="Hyperlink"/>
            <w:rFonts w:ascii="Arial" w:hAnsi="Arial" w:cs="Arial"/>
            <w:color w:val="auto"/>
            <w:sz w:val="18"/>
            <w:szCs w:val="18"/>
          </w:rPr>
          <w:t>http://www.dec.ny.gov/chemical/29072.html</w:t>
        </w:r>
      </w:hyperlink>
      <w:r w:rsidRPr="003D5FE0">
        <w:rPr>
          <w:rFonts w:ascii="Arial" w:hAnsi="Arial" w:cs="Arial"/>
          <w:sz w:val="18"/>
          <w:szCs w:val="18"/>
        </w:rPr>
        <w:t>&gt;.</w:t>
      </w:r>
    </w:p>
  </w:endnote>
  <w:endnote w:id="33">
    <w:p w:rsidR="00E659D3" w:rsidRPr="003D5FE0" w:rsidRDefault="00E659D3" w:rsidP="003D5FE0">
      <w:pPr>
        <w:pStyle w:val="EndnoteText"/>
        <w:tabs>
          <w:tab w:val="left" w:pos="-90"/>
        </w:tabs>
        <w:ind w:left="360" w:hanging="360"/>
        <w:rPr>
          <w:rFonts w:ascii="Arial" w:hAnsi="Arial" w:cs="Arial"/>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Clean Water Campaign.  </w:t>
      </w:r>
      <w:r w:rsidRPr="003D5FE0">
        <w:rPr>
          <w:rFonts w:ascii="Arial" w:hAnsi="Arial" w:cs="Arial"/>
          <w:i/>
          <w:sz w:val="18"/>
          <w:szCs w:val="18"/>
        </w:rPr>
        <w:t xml:space="preserve">Rain Gardens for Home Landscapes.  </w:t>
      </w:r>
      <w:r w:rsidRPr="003D5FE0">
        <w:rPr>
          <w:rFonts w:ascii="Arial" w:hAnsi="Arial" w:cs="Arial"/>
          <w:sz w:val="18"/>
          <w:szCs w:val="18"/>
        </w:rPr>
        <w:t>2 pp. Available at</w:t>
      </w:r>
      <w:r>
        <w:rPr>
          <w:rFonts w:ascii="Arial" w:hAnsi="Arial" w:cs="Arial"/>
          <w:sz w:val="18"/>
          <w:szCs w:val="18"/>
        </w:rPr>
        <w:t>:</w:t>
      </w:r>
      <w:r w:rsidRPr="003D5FE0">
        <w:rPr>
          <w:rFonts w:ascii="Arial" w:hAnsi="Arial" w:cs="Arial"/>
          <w:sz w:val="18"/>
          <w:szCs w:val="18"/>
        </w:rPr>
        <w:t xml:space="preserve"> &lt;</w:t>
      </w:r>
      <w:hyperlink r:id="rId35" w:history="1">
        <w:r w:rsidRPr="003D5FE0">
          <w:rPr>
            <w:rStyle w:val="Hyperlink"/>
            <w:rFonts w:ascii="Arial" w:hAnsi="Arial" w:cs="Arial"/>
            <w:color w:val="auto"/>
            <w:sz w:val="18"/>
            <w:szCs w:val="18"/>
          </w:rPr>
          <w:t>http://www.epa.gov/owow_keep/NPS/toolbox/other/cwc_raingardenbrochure.pdf</w:t>
        </w:r>
      </w:hyperlink>
      <w:r w:rsidRPr="003D5FE0">
        <w:rPr>
          <w:rFonts w:ascii="Arial" w:hAnsi="Arial" w:cs="Arial"/>
          <w:sz w:val="18"/>
          <w:szCs w:val="18"/>
        </w:rPr>
        <w:t>&gt;.</w:t>
      </w:r>
    </w:p>
  </w:endnote>
  <w:endnote w:id="34">
    <w:p w:rsidR="00E659D3" w:rsidRPr="003D5FE0" w:rsidRDefault="00E659D3" w:rsidP="003D5FE0">
      <w:pPr>
        <w:pStyle w:val="EndnoteText"/>
        <w:tabs>
          <w:tab w:val="left" w:pos="-90"/>
        </w:tabs>
        <w:ind w:left="360" w:hanging="360"/>
        <w:rPr>
          <w:rFonts w:ascii="Arial" w:hAnsi="Arial" w:cs="Arial"/>
          <w:i/>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New York State Department of Environmental Conservation. (2010).  </w:t>
      </w:r>
      <w:r w:rsidRPr="003D5FE0">
        <w:rPr>
          <w:rFonts w:ascii="Arial" w:hAnsi="Arial" w:cs="Arial"/>
          <w:i/>
          <w:sz w:val="18"/>
          <w:szCs w:val="18"/>
        </w:rPr>
        <w:t>New York State Stormwater Management Design Manual</w:t>
      </w:r>
      <w:r w:rsidRPr="003D5FE0">
        <w:rPr>
          <w:rFonts w:ascii="Arial" w:hAnsi="Arial" w:cs="Arial"/>
          <w:sz w:val="18"/>
          <w:szCs w:val="18"/>
        </w:rPr>
        <w:t>. 642 pp. Available at</w:t>
      </w:r>
      <w:r>
        <w:rPr>
          <w:rFonts w:ascii="Arial" w:hAnsi="Arial" w:cs="Arial"/>
          <w:sz w:val="18"/>
          <w:szCs w:val="18"/>
        </w:rPr>
        <w:t>:</w:t>
      </w:r>
      <w:r w:rsidRPr="003D5FE0">
        <w:rPr>
          <w:rFonts w:ascii="Arial" w:hAnsi="Arial" w:cs="Arial"/>
          <w:sz w:val="18"/>
          <w:szCs w:val="18"/>
        </w:rPr>
        <w:t xml:space="preserve"> &lt;</w:t>
      </w:r>
      <w:hyperlink r:id="rId36" w:history="1">
        <w:r w:rsidRPr="003D5FE0">
          <w:rPr>
            <w:rStyle w:val="Hyperlink"/>
            <w:rFonts w:ascii="Arial" w:hAnsi="Arial" w:cs="Arial"/>
            <w:color w:val="auto"/>
            <w:sz w:val="18"/>
            <w:szCs w:val="18"/>
          </w:rPr>
          <w:t>http://www.dec.ny.gov/chemical/29072.html</w:t>
        </w:r>
      </w:hyperlink>
      <w:r w:rsidRPr="003D5FE0">
        <w:rPr>
          <w:rFonts w:ascii="Arial" w:hAnsi="Arial" w:cs="Arial"/>
          <w:sz w:val="18"/>
          <w:szCs w:val="18"/>
        </w:rPr>
        <w:t>&gt;.</w:t>
      </w:r>
    </w:p>
  </w:endnote>
  <w:endnote w:id="35">
    <w:p w:rsidR="00E659D3" w:rsidRPr="003D5FE0" w:rsidRDefault="00E659D3" w:rsidP="003D5FE0">
      <w:pPr>
        <w:pStyle w:val="EndnoteText"/>
        <w:tabs>
          <w:tab w:val="left" w:pos="-90"/>
          <w:tab w:val="left" w:pos="360"/>
        </w:tabs>
        <w:ind w:left="360" w:hanging="360"/>
        <w:rPr>
          <w:rFonts w:ascii="Arial" w:hAnsi="Arial" w:cs="Arial"/>
          <w:i/>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USEPA.  (2006).  </w:t>
      </w:r>
      <w:r w:rsidRPr="003D5FE0">
        <w:rPr>
          <w:rFonts w:ascii="Arial" w:hAnsi="Arial" w:cs="Arial"/>
          <w:i/>
          <w:sz w:val="18"/>
          <w:szCs w:val="18"/>
        </w:rPr>
        <w:t xml:space="preserve">National Pollutant Discharge Elimination System (NPDES) Menu of BMPs: Bioretention (Rain Gardens).  </w:t>
      </w:r>
      <w:r w:rsidRPr="003D5FE0">
        <w:rPr>
          <w:rFonts w:ascii="Arial" w:hAnsi="Arial" w:cs="Arial"/>
          <w:sz w:val="18"/>
          <w:szCs w:val="18"/>
        </w:rPr>
        <w:t xml:space="preserve">Available </w:t>
      </w:r>
      <w:r>
        <w:rPr>
          <w:rFonts w:ascii="Arial" w:hAnsi="Arial" w:cs="Arial"/>
          <w:sz w:val="18"/>
          <w:szCs w:val="18"/>
        </w:rPr>
        <w:t xml:space="preserve">at: </w:t>
      </w:r>
      <w:r w:rsidRPr="003D5FE0">
        <w:rPr>
          <w:rFonts w:ascii="Arial" w:hAnsi="Arial" w:cs="Arial"/>
          <w:sz w:val="18"/>
          <w:szCs w:val="18"/>
        </w:rPr>
        <w:t>&lt;</w:t>
      </w:r>
      <w:hyperlink r:id="rId37" w:history="1">
        <w:r w:rsidRPr="003D5FE0">
          <w:rPr>
            <w:rStyle w:val="Hyperlink"/>
            <w:rFonts w:ascii="Arial" w:hAnsi="Arial" w:cs="Arial"/>
            <w:color w:val="auto"/>
            <w:sz w:val="18"/>
            <w:szCs w:val="18"/>
          </w:rPr>
          <w:t>http://cfpub.epa.gov/npdes/stormwater/menuofbmps/index.cfm?action=factsheet_results&amp;view=specific&amp;bmp=72</w:t>
        </w:r>
      </w:hyperlink>
      <w:r w:rsidRPr="003D5FE0">
        <w:rPr>
          <w:rFonts w:ascii="Arial" w:hAnsi="Arial" w:cs="Arial"/>
          <w:sz w:val="18"/>
          <w:szCs w:val="18"/>
        </w:rPr>
        <w:t>&gt;.</w:t>
      </w:r>
    </w:p>
  </w:endnote>
  <w:endnote w:id="36">
    <w:p w:rsidR="00E659D3" w:rsidRPr="003D5FE0" w:rsidRDefault="00E659D3" w:rsidP="003D5FE0">
      <w:pPr>
        <w:pStyle w:val="EndnoteText"/>
        <w:tabs>
          <w:tab w:val="left" w:pos="-90"/>
        </w:tabs>
        <w:ind w:left="360" w:hanging="360"/>
        <w:rPr>
          <w:rFonts w:ascii="Arial" w:hAnsi="Arial" w:cs="Arial"/>
          <w:i/>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USEPA.  (2006).  </w:t>
      </w:r>
      <w:r w:rsidRPr="003D5FE0">
        <w:rPr>
          <w:rFonts w:ascii="Arial" w:hAnsi="Arial" w:cs="Arial"/>
          <w:i/>
          <w:sz w:val="18"/>
          <w:szCs w:val="18"/>
        </w:rPr>
        <w:t xml:space="preserve">National Pollutant Discharge Elimination System (NPDES) Menu of BMPs: Bioretention (Rain Gardens).  </w:t>
      </w:r>
      <w:r w:rsidRPr="003D5FE0">
        <w:rPr>
          <w:rFonts w:ascii="Arial" w:hAnsi="Arial" w:cs="Arial"/>
          <w:sz w:val="18"/>
          <w:szCs w:val="18"/>
        </w:rPr>
        <w:t>Available at</w:t>
      </w:r>
      <w:r>
        <w:rPr>
          <w:rFonts w:ascii="Arial" w:hAnsi="Arial" w:cs="Arial"/>
          <w:sz w:val="18"/>
          <w:szCs w:val="18"/>
        </w:rPr>
        <w:t>:</w:t>
      </w:r>
      <w:r w:rsidRPr="003D5FE0">
        <w:rPr>
          <w:rFonts w:ascii="Arial" w:hAnsi="Arial" w:cs="Arial"/>
          <w:sz w:val="18"/>
          <w:szCs w:val="18"/>
        </w:rPr>
        <w:t xml:space="preserve"> &lt;</w:t>
      </w:r>
      <w:hyperlink r:id="rId38" w:history="1">
        <w:r w:rsidRPr="003D5FE0">
          <w:rPr>
            <w:rStyle w:val="Hyperlink"/>
            <w:rFonts w:ascii="Arial" w:hAnsi="Arial" w:cs="Arial"/>
            <w:color w:val="auto"/>
            <w:sz w:val="18"/>
            <w:szCs w:val="18"/>
          </w:rPr>
          <w:t>http://cfpub.epa.gov/npdes/stormwater/menuofbmps/index.cfm?action=factsheet_results&amp;view=specific&amp;bmp=72&amp;minmeasure=5</w:t>
        </w:r>
      </w:hyperlink>
      <w:r w:rsidRPr="003D5FE0">
        <w:rPr>
          <w:rFonts w:ascii="Arial" w:hAnsi="Arial" w:cs="Arial"/>
          <w:sz w:val="18"/>
          <w:szCs w:val="18"/>
        </w:rPr>
        <w:t>&gt;.</w:t>
      </w:r>
    </w:p>
  </w:endnote>
  <w:endnote w:id="37">
    <w:p w:rsidR="00E659D3" w:rsidRPr="003D5FE0" w:rsidRDefault="00E659D3" w:rsidP="003D5FE0">
      <w:pPr>
        <w:pStyle w:val="EndnoteText"/>
        <w:tabs>
          <w:tab w:val="left" w:pos="-90"/>
        </w:tabs>
        <w:ind w:left="360" w:hanging="360"/>
        <w:rPr>
          <w:rFonts w:ascii="Arial" w:hAnsi="Arial" w:cs="Arial"/>
          <w:i/>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New York State Department of Environmental Conservation. (2010).  </w:t>
      </w:r>
      <w:r w:rsidRPr="003D5FE0">
        <w:rPr>
          <w:rFonts w:ascii="Arial" w:hAnsi="Arial" w:cs="Arial"/>
          <w:i/>
          <w:sz w:val="18"/>
          <w:szCs w:val="18"/>
        </w:rPr>
        <w:t>New York State Stormwater Management Design Manual</w:t>
      </w:r>
      <w:r w:rsidRPr="003D5FE0">
        <w:rPr>
          <w:rFonts w:ascii="Arial" w:hAnsi="Arial" w:cs="Arial"/>
          <w:sz w:val="18"/>
          <w:szCs w:val="18"/>
        </w:rPr>
        <w:t>. 642 pp. Available at</w:t>
      </w:r>
      <w:r>
        <w:rPr>
          <w:rFonts w:ascii="Arial" w:hAnsi="Arial" w:cs="Arial"/>
          <w:sz w:val="18"/>
          <w:szCs w:val="18"/>
        </w:rPr>
        <w:t>:</w:t>
      </w:r>
      <w:r w:rsidRPr="003D5FE0">
        <w:rPr>
          <w:rFonts w:ascii="Arial" w:hAnsi="Arial" w:cs="Arial"/>
          <w:sz w:val="18"/>
          <w:szCs w:val="18"/>
        </w:rPr>
        <w:t xml:space="preserve"> &lt;</w:t>
      </w:r>
      <w:hyperlink r:id="rId39" w:history="1">
        <w:r w:rsidRPr="003D5FE0">
          <w:rPr>
            <w:rStyle w:val="Hyperlink"/>
            <w:rFonts w:ascii="Arial" w:hAnsi="Arial" w:cs="Arial"/>
            <w:color w:val="auto"/>
            <w:sz w:val="18"/>
            <w:szCs w:val="18"/>
          </w:rPr>
          <w:t>http://www.dec.ny.gov/chemical/29072.html</w:t>
        </w:r>
      </w:hyperlink>
      <w:r w:rsidRPr="003D5FE0">
        <w:rPr>
          <w:rFonts w:ascii="Arial" w:hAnsi="Arial" w:cs="Arial"/>
          <w:sz w:val="18"/>
          <w:szCs w:val="18"/>
        </w:rPr>
        <w:t xml:space="preserve">&gt;. </w:t>
      </w:r>
    </w:p>
  </w:endnote>
  <w:endnote w:id="38">
    <w:p w:rsidR="00E659D3" w:rsidRPr="003D5FE0" w:rsidRDefault="00E659D3" w:rsidP="003D5FE0">
      <w:pPr>
        <w:pStyle w:val="EndnoteText"/>
        <w:tabs>
          <w:tab w:val="left" w:pos="-90"/>
        </w:tabs>
        <w:ind w:left="360" w:hanging="360"/>
        <w:rPr>
          <w:rFonts w:ascii="Arial" w:hAnsi="Arial" w:cs="Arial"/>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The Civic Federation.  (2007).  Managing Urban Stormwater with Green Infrastructure: Case Studies of Five U.S. Local Governments.  Prepared for The Center for Neighborhood Technology.  56 pp.  Available at</w:t>
      </w:r>
      <w:r>
        <w:rPr>
          <w:rFonts w:ascii="Arial" w:hAnsi="Arial" w:cs="Arial"/>
          <w:sz w:val="18"/>
          <w:szCs w:val="18"/>
        </w:rPr>
        <w:t>:</w:t>
      </w:r>
      <w:r w:rsidRPr="003D5FE0">
        <w:rPr>
          <w:rFonts w:ascii="Arial" w:hAnsi="Arial" w:cs="Arial"/>
          <w:sz w:val="18"/>
          <w:szCs w:val="18"/>
        </w:rPr>
        <w:t xml:space="preserve"> &lt;</w:t>
      </w:r>
      <w:hyperlink r:id="rId40" w:history="1">
        <w:r w:rsidRPr="003D5FE0">
          <w:rPr>
            <w:rStyle w:val="Hyperlink"/>
            <w:rFonts w:ascii="Arial" w:hAnsi="Arial" w:cs="Arial"/>
            <w:color w:val="auto"/>
            <w:sz w:val="18"/>
            <w:szCs w:val="18"/>
          </w:rPr>
          <w:t>http://www.cnt.org/repository/GreenInfrastructureReportCivicFederation percent2010-07.pdf</w:t>
        </w:r>
      </w:hyperlink>
      <w:r w:rsidRPr="003D5FE0">
        <w:rPr>
          <w:rFonts w:ascii="Arial" w:hAnsi="Arial" w:cs="Arial"/>
          <w:sz w:val="18"/>
          <w:szCs w:val="18"/>
        </w:rPr>
        <w:t>&gt;.</w:t>
      </w:r>
    </w:p>
  </w:endnote>
  <w:endnote w:id="39">
    <w:p w:rsidR="00E659D3" w:rsidRPr="003D5FE0" w:rsidRDefault="00E659D3" w:rsidP="003D5FE0">
      <w:pPr>
        <w:pStyle w:val="EndnoteText"/>
        <w:tabs>
          <w:tab w:val="left" w:pos="-90"/>
        </w:tabs>
        <w:ind w:left="360" w:hanging="360"/>
        <w:rPr>
          <w:rFonts w:ascii="Arial" w:hAnsi="Arial" w:cs="Arial"/>
          <w:i/>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Kloss, C and Calarusse, C.  (2006).  </w:t>
      </w:r>
      <w:r w:rsidRPr="003D5FE0">
        <w:rPr>
          <w:rFonts w:ascii="Arial" w:hAnsi="Arial" w:cs="Arial"/>
          <w:i/>
          <w:sz w:val="18"/>
          <w:szCs w:val="18"/>
        </w:rPr>
        <w:t>Rooftops to Rivers: Green Strategies for Controlling</w:t>
      </w:r>
      <w:r>
        <w:rPr>
          <w:rFonts w:ascii="Arial" w:hAnsi="Arial" w:cs="Arial"/>
          <w:i/>
          <w:sz w:val="18"/>
          <w:szCs w:val="18"/>
        </w:rPr>
        <w:t xml:space="preserve"> Stormwater and Combined Sewer </w:t>
      </w:r>
      <w:r w:rsidRPr="003D5FE0">
        <w:rPr>
          <w:rFonts w:ascii="Arial" w:hAnsi="Arial" w:cs="Arial"/>
          <w:i/>
          <w:sz w:val="18"/>
          <w:szCs w:val="18"/>
        </w:rPr>
        <w:t xml:space="preserve">Overflows.  </w:t>
      </w:r>
      <w:r w:rsidRPr="003D5FE0">
        <w:rPr>
          <w:rFonts w:ascii="Arial" w:hAnsi="Arial" w:cs="Arial"/>
          <w:sz w:val="18"/>
          <w:szCs w:val="18"/>
        </w:rPr>
        <w:t>Prepared for the Natural Resources Defense Council.  56 pp.  Available at</w:t>
      </w:r>
      <w:r>
        <w:rPr>
          <w:rFonts w:ascii="Arial" w:hAnsi="Arial" w:cs="Arial"/>
          <w:sz w:val="18"/>
          <w:szCs w:val="18"/>
        </w:rPr>
        <w:t>:</w:t>
      </w:r>
      <w:r w:rsidRPr="003D5FE0">
        <w:rPr>
          <w:rFonts w:ascii="Arial" w:hAnsi="Arial" w:cs="Arial"/>
          <w:sz w:val="18"/>
          <w:szCs w:val="18"/>
        </w:rPr>
        <w:t xml:space="preserve"> &lt;</w:t>
      </w:r>
      <w:hyperlink r:id="rId41" w:history="1">
        <w:r w:rsidRPr="003D5FE0">
          <w:rPr>
            <w:rStyle w:val="Hyperlink"/>
            <w:rFonts w:ascii="Arial" w:hAnsi="Arial" w:cs="Arial"/>
            <w:color w:val="auto"/>
            <w:sz w:val="18"/>
            <w:szCs w:val="18"/>
          </w:rPr>
          <w:t>http://www.nrdc.org/water/pollution/rooftops/contents.asp</w:t>
        </w:r>
      </w:hyperlink>
      <w:r w:rsidRPr="003D5FE0">
        <w:rPr>
          <w:rFonts w:ascii="Arial" w:hAnsi="Arial" w:cs="Arial"/>
          <w:sz w:val="18"/>
          <w:szCs w:val="18"/>
        </w:rPr>
        <w:t>&gt;.</w:t>
      </w:r>
    </w:p>
  </w:endnote>
  <w:endnote w:id="40">
    <w:p w:rsidR="00E659D3" w:rsidRPr="003D5FE0" w:rsidRDefault="00E659D3" w:rsidP="003D5FE0">
      <w:pPr>
        <w:pStyle w:val="EndnoteText"/>
        <w:tabs>
          <w:tab w:val="left" w:pos="-90"/>
        </w:tabs>
        <w:ind w:left="360" w:hanging="360"/>
        <w:rPr>
          <w:rFonts w:ascii="Arial" w:hAnsi="Arial" w:cs="Arial"/>
          <w:i/>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Pennsylvania Department of Environmental Protection, Bureau of Watershed Management.  (2006).  </w:t>
      </w:r>
      <w:r w:rsidRPr="003D5FE0">
        <w:rPr>
          <w:rFonts w:ascii="Arial" w:hAnsi="Arial" w:cs="Arial"/>
          <w:i/>
          <w:sz w:val="18"/>
          <w:szCs w:val="18"/>
        </w:rPr>
        <w:t>Pennsylvania Stormwa</w:t>
      </w:r>
      <w:r>
        <w:rPr>
          <w:rFonts w:ascii="Arial" w:hAnsi="Arial" w:cs="Arial"/>
          <w:i/>
          <w:sz w:val="18"/>
          <w:szCs w:val="18"/>
        </w:rPr>
        <w:t xml:space="preserve">ter </w:t>
      </w:r>
      <w:r w:rsidRPr="003D5FE0">
        <w:rPr>
          <w:rFonts w:ascii="Arial" w:hAnsi="Arial" w:cs="Arial"/>
          <w:i/>
          <w:sz w:val="18"/>
          <w:szCs w:val="18"/>
        </w:rPr>
        <w:t xml:space="preserve">Best Management Practices Manual.  </w:t>
      </w:r>
      <w:r w:rsidRPr="003D5FE0">
        <w:rPr>
          <w:rFonts w:ascii="Arial" w:hAnsi="Arial" w:cs="Arial"/>
          <w:sz w:val="18"/>
          <w:szCs w:val="18"/>
        </w:rPr>
        <w:t>685 pp.  Available at</w:t>
      </w:r>
      <w:r>
        <w:rPr>
          <w:rFonts w:ascii="Arial" w:hAnsi="Arial" w:cs="Arial"/>
          <w:sz w:val="18"/>
          <w:szCs w:val="18"/>
        </w:rPr>
        <w:t>:</w:t>
      </w:r>
      <w:r>
        <w:rPr>
          <w:rFonts w:ascii="Arial" w:hAnsi="Arial" w:cs="Arial"/>
          <w:i/>
          <w:sz w:val="18"/>
          <w:szCs w:val="18"/>
        </w:rPr>
        <w:t xml:space="preserve"> </w:t>
      </w:r>
      <w:r w:rsidRPr="003D5FE0">
        <w:rPr>
          <w:rFonts w:ascii="Arial" w:hAnsi="Arial" w:cs="Arial"/>
          <w:i/>
          <w:sz w:val="18"/>
          <w:szCs w:val="18"/>
        </w:rPr>
        <w:t>&lt;</w:t>
      </w:r>
      <w:hyperlink r:id="rId42" w:history="1">
        <w:r w:rsidRPr="003D5FE0">
          <w:rPr>
            <w:rStyle w:val="Hyperlink"/>
            <w:rFonts w:ascii="Arial" w:hAnsi="Arial" w:cs="Arial"/>
            <w:color w:val="auto"/>
            <w:sz w:val="18"/>
            <w:szCs w:val="18"/>
          </w:rPr>
          <w:t>http://www.elibrary.dep.state.pa.us/dsweb/View/Collection-8305</w:t>
        </w:r>
      </w:hyperlink>
      <w:r w:rsidRPr="003D5FE0">
        <w:rPr>
          <w:rFonts w:ascii="Arial" w:hAnsi="Arial" w:cs="Arial"/>
          <w:sz w:val="18"/>
          <w:szCs w:val="18"/>
        </w:rPr>
        <w:t>&gt;.</w:t>
      </w:r>
    </w:p>
  </w:endnote>
  <w:endnote w:id="41">
    <w:p w:rsidR="00E659D3" w:rsidRPr="003D5FE0" w:rsidRDefault="00E659D3" w:rsidP="003D5FE0">
      <w:pPr>
        <w:pStyle w:val="EndnoteText"/>
        <w:tabs>
          <w:tab w:val="left" w:pos="-90"/>
        </w:tabs>
        <w:ind w:left="360" w:hanging="360"/>
        <w:rPr>
          <w:rFonts w:ascii="Arial" w:hAnsi="Arial" w:cs="Arial"/>
          <w:sz w:val="18"/>
          <w:szCs w:val="18"/>
        </w:rPr>
      </w:pPr>
      <w:r w:rsidRPr="003D5FE0">
        <w:rPr>
          <w:rStyle w:val="EndnoteReference"/>
          <w:rFonts w:ascii="Arial" w:hAnsi="Arial" w:cs="Arial"/>
          <w:sz w:val="18"/>
          <w:szCs w:val="18"/>
        </w:rPr>
        <w:endnoteRef/>
      </w:r>
      <w:r w:rsidRPr="003D5FE0">
        <w:rPr>
          <w:rStyle w:val="apple-style-span"/>
          <w:rFonts w:ascii="Arial" w:hAnsi="Arial" w:cs="Arial"/>
          <w:sz w:val="18"/>
          <w:szCs w:val="18"/>
        </w:rPr>
        <w:t>Brown, W., and T. Schueler. (1997).</w:t>
      </w:r>
      <w:r w:rsidRPr="003D5FE0">
        <w:rPr>
          <w:rStyle w:val="apple-converted-space"/>
          <w:rFonts w:ascii="Arial" w:hAnsi="Arial" w:cs="Arial"/>
          <w:sz w:val="18"/>
          <w:szCs w:val="18"/>
        </w:rPr>
        <w:t> </w:t>
      </w:r>
      <w:r w:rsidRPr="003D5FE0">
        <w:rPr>
          <w:rStyle w:val="apple-style-span"/>
          <w:rFonts w:ascii="Arial" w:hAnsi="Arial" w:cs="Arial"/>
          <w:i/>
          <w:iCs/>
          <w:sz w:val="18"/>
          <w:szCs w:val="18"/>
        </w:rPr>
        <w:t>The Economics of Stormwater BMPs in the Mid-Atlantic Region</w:t>
      </w:r>
      <w:r w:rsidRPr="003D5FE0">
        <w:rPr>
          <w:rStyle w:val="apple-style-span"/>
          <w:rFonts w:ascii="Arial" w:hAnsi="Arial" w:cs="Arial"/>
          <w:sz w:val="18"/>
          <w:szCs w:val="18"/>
        </w:rPr>
        <w:t xml:space="preserve">. Prepared for Chesapeake Research Consortium. Edgewater, MD. Center for Watershed Protection. Ellicott City, MD.  As cited in </w:t>
      </w:r>
      <w:r w:rsidRPr="003D5FE0">
        <w:rPr>
          <w:rFonts w:ascii="Arial" w:hAnsi="Arial" w:cs="Arial"/>
          <w:sz w:val="18"/>
          <w:szCs w:val="18"/>
        </w:rPr>
        <w:t xml:space="preserve">USEPA.  (2006).  </w:t>
      </w:r>
      <w:r w:rsidRPr="003D5FE0">
        <w:rPr>
          <w:rFonts w:ascii="Arial" w:hAnsi="Arial" w:cs="Arial"/>
          <w:i/>
          <w:sz w:val="18"/>
          <w:szCs w:val="18"/>
        </w:rPr>
        <w:t xml:space="preserve">National Pollutant Discharge Elimination System (NPDES) Menu of BMPs: Bioretention (Rain Gardens).  </w:t>
      </w:r>
      <w:r w:rsidRPr="003D5FE0">
        <w:rPr>
          <w:rFonts w:ascii="Arial" w:hAnsi="Arial" w:cs="Arial"/>
          <w:sz w:val="18"/>
          <w:szCs w:val="18"/>
        </w:rPr>
        <w:t>Available at</w:t>
      </w:r>
      <w:r>
        <w:rPr>
          <w:rFonts w:ascii="Arial" w:hAnsi="Arial" w:cs="Arial"/>
          <w:sz w:val="18"/>
          <w:szCs w:val="18"/>
        </w:rPr>
        <w:t>:</w:t>
      </w:r>
      <w:r w:rsidRPr="003D5FE0">
        <w:rPr>
          <w:rFonts w:ascii="Arial" w:hAnsi="Arial" w:cs="Arial"/>
          <w:sz w:val="18"/>
          <w:szCs w:val="18"/>
        </w:rPr>
        <w:t xml:space="preserve"> &lt;</w:t>
      </w:r>
      <w:hyperlink r:id="rId43" w:history="1">
        <w:r w:rsidRPr="003D5FE0">
          <w:rPr>
            <w:rStyle w:val="Hyperlink"/>
            <w:rFonts w:ascii="Arial" w:hAnsi="Arial" w:cs="Arial"/>
            <w:color w:val="auto"/>
            <w:sz w:val="18"/>
            <w:szCs w:val="18"/>
          </w:rPr>
          <w:t>http://cfpub.epa.gov/npdes/stormwater/menuofbmps/index.cfm?action=factsheet_results&amp;view=specific&amp;bmp=72&amp;minmeasure=5</w:t>
        </w:r>
      </w:hyperlink>
      <w:r w:rsidRPr="003D5FE0">
        <w:rPr>
          <w:rFonts w:ascii="Arial" w:hAnsi="Arial" w:cs="Arial"/>
          <w:sz w:val="18"/>
          <w:szCs w:val="18"/>
        </w:rPr>
        <w:t>&gt;.</w:t>
      </w:r>
    </w:p>
  </w:endnote>
  <w:endnote w:id="42">
    <w:p w:rsidR="00E659D3" w:rsidRPr="003D5FE0" w:rsidRDefault="00E659D3" w:rsidP="003D5FE0">
      <w:pPr>
        <w:pStyle w:val="EndnoteText"/>
        <w:tabs>
          <w:tab w:val="left" w:pos="-90"/>
        </w:tabs>
        <w:ind w:left="360" w:hanging="360"/>
        <w:rPr>
          <w:rFonts w:ascii="Arial" w:hAnsi="Arial" w:cs="Arial"/>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 The Groundwater Foundation.  </w:t>
      </w:r>
      <w:r w:rsidRPr="003D5FE0">
        <w:rPr>
          <w:rFonts w:ascii="Arial" w:hAnsi="Arial" w:cs="Arial"/>
          <w:i/>
          <w:sz w:val="18"/>
          <w:szCs w:val="18"/>
        </w:rPr>
        <w:t>Rain Gardens 101</w:t>
      </w:r>
      <w:r w:rsidRPr="003D5FE0">
        <w:rPr>
          <w:rFonts w:ascii="Arial" w:hAnsi="Arial" w:cs="Arial"/>
          <w:sz w:val="18"/>
          <w:szCs w:val="18"/>
        </w:rPr>
        <w:t>.  Available at &lt;</w:t>
      </w:r>
      <w:hyperlink r:id="rId44" w:history="1">
        <w:r w:rsidRPr="003D5FE0">
          <w:rPr>
            <w:rStyle w:val="Hyperlink"/>
            <w:rFonts w:ascii="Arial" w:hAnsi="Arial" w:cs="Arial"/>
            <w:color w:val="auto"/>
            <w:sz w:val="18"/>
            <w:szCs w:val="18"/>
          </w:rPr>
          <w:t>http://www.groundwater.org/ta/raingardens.html</w:t>
        </w:r>
      </w:hyperlink>
      <w:r w:rsidRPr="003D5FE0">
        <w:rPr>
          <w:rFonts w:ascii="Arial" w:hAnsi="Arial" w:cs="Arial"/>
          <w:sz w:val="18"/>
          <w:szCs w:val="18"/>
        </w:rPr>
        <w:t>&gt;.</w:t>
      </w:r>
    </w:p>
  </w:endnote>
  <w:endnote w:id="43">
    <w:p w:rsidR="00E659D3" w:rsidRPr="003D5FE0" w:rsidRDefault="00E659D3" w:rsidP="003D5FE0">
      <w:pPr>
        <w:pStyle w:val="EndnoteText"/>
        <w:tabs>
          <w:tab w:val="left" w:pos="-90"/>
        </w:tabs>
        <w:ind w:left="360" w:hanging="360"/>
        <w:rPr>
          <w:rFonts w:ascii="Arial" w:hAnsi="Arial" w:cs="Arial"/>
          <w:sz w:val="18"/>
          <w:szCs w:val="18"/>
        </w:rPr>
      </w:pPr>
      <w:r w:rsidRPr="003D5FE0">
        <w:rPr>
          <w:rStyle w:val="EndnoteReference"/>
          <w:rFonts w:ascii="Arial" w:hAnsi="Arial" w:cs="Arial"/>
          <w:sz w:val="18"/>
          <w:szCs w:val="18"/>
        </w:rPr>
        <w:endnoteRef/>
      </w:r>
      <w:r w:rsidRPr="003D5FE0">
        <w:rPr>
          <w:rFonts w:ascii="Arial" w:hAnsi="Arial" w:cs="Arial"/>
          <w:sz w:val="18"/>
          <w:szCs w:val="18"/>
        </w:rPr>
        <w:t xml:space="preserve">Wisconsin Department of Natural Resources.  (2003).  </w:t>
      </w:r>
      <w:r w:rsidRPr="003D5FE0">
        <w:rPr>
          <w:rFonts w:ascii="Arial" w:hAnsi="Arial" w:cs="Arial"/>
          <w:i/>
          <w:sz w:val="18"/>
          <w:szCs w:val="18"/>
        </w:rPr>
        <w:t xml:space="preserve">Rain Gardens: A how-to manual for homeowners.  </w:t>
      </w:r>
      <w:r w:rsidRPr="003D5FE0">
        <w:rPr>
          <w:rFonts w:ascii="Arial" w:hAnsi="Arial" w:cs="Arial"/>
          <w:sz w:val="18"/>
          <w:szCs w:val="18"/>
        </w:rPr>
        <w:t>Available at</w:t>
      </w:r>
      <w:r>
        <w:rPr>
          <w:rFonts w:ascii="Arial" w:hAnsi="Arial" w:cs="Arial"/>
          <w:sz w:val="18"/>
          <w:szCs w:val="18"/>
        </w:rPr>
        <w:t>:</w:t>
      </w:r>
      <w:r w:rsidRPr="003D5FE0">
        <w:rPr>
          <w:rFonts w:ascii="Arial" w:hAnsi="Arial" w:cs="Arial"/>
          <w:sz w:val="18"/>
          <w:szCs w:val="18"/>
        </w:rPr>
        <w:t xml:space="preserve"> &lt;</w:t>
      </w:r>
      <w:hyperlink r:id="rId45" w:history="1">
        <w:r w:rsidRPr="003D5FE0">
          <w:rPr>
            <w:rStyle w:val="Hyperlink"/>
            <w:rFonts w:ascii="Arial" w:hAnsi="Arial" w:cs="Arial"/>
            <w:color w:val="auto"/>
            <w:sz w:val="18"/>
            <w:szCs w:val="18"/>
          </w:rPr>
          <w:t>http://dnr.wi.gov/org/water/wm/dsfm/shore/documents/rgmanual.pdf</w:t>
        </w:r>
      </w:hyperlink>
      <w:r w:rsidRPr="003D5FE0">
        <w:rPr>
          <w:rFonts w:ascii="Arial" w:hAnsi="Arial" w:cs="Arial"/>
          <w:sz w:val="18"/>
          <w:szCs w:val="18"/>
        </w:rPr>
        <w:t>&gt;.</w:t>
      </w:r>
    </w:p>
  </w:endnote>
  <w:endnote w:id="44">
    <w:p w:rsidR="00E659D3" w:rsidRPr="003D5FE0" w:rsidRDefault="00E659D3" w:rsidP="003D5FE0">
      <w:pPr>
        <w:tabs>
          <w:tab w:val="left" w:pos="-90"/>
        </w:tabs>
        <w:ind w:left="360" w:hanging="360"/>
        <w:rPr>
          <w:rFonts w:cs="Arial"/>
          <w:sz w:val="18"/>
          <w:szCs w:val="18"/>
        </w:rPr>
      </w:pPr>
      <w:r w:rsidRPr="003D5FE0">
        <w:rPr>
          <w:rStyle w:val="EndnoteReference"/>
          <w:rFonts w:cs="Arial"/>
          <w:sz w:val="18"/>
          <w:szCs w:val="18"/>
        </w:rPr>
        <w:endnoteRef/>
      </w:r>
      <w:r w:rsidRPr="003D5FE0">
        <w:rPr>
          <w:rFonts w:cs="Arial"/>
          <w:sz w:val="18"/>
          <w:szCs w:val="18"/>
        </w:rPr>
        <w:t xml:space="preserve"> </w:t>
      </w:r>
      <w:r w:rsidRPr="003D5FE0">
        <w:rPr>
          <w:rFonts w:cs="Arial"/>
          <w:bCs/>
          <w:sz w:val="18"/>
          <w:szCs w:val="18"/>
        </w:rPr>
        <w:t xml:space="preserve">Weiss, P.T., J. S. Gulliver and A. J. Erickson, (2005). </w:t>
      </w:r>
      <w:r w:rsidRPr="003D5FE0">
        <w:rPr>
          <w:rFonts w:cs="Arial"/>
          <w:bCs/>
          <w:i/>
          <w:sz w:val="18"/>
          <w:szCs w:val="18"/>
        </w:rPr>
        <w:t>The Cost and Effectiveness of Stormwater Management Practices</w:t>
      </w:r>
      <w:r w:rsidRPr="003D5FE0">
        <w:rPr>
          <w:rFonts w:cs="Arial"/>
          <w:bCs/>
          <w:sz w:val="18"/>
          <w:szCs w:val="18"/>
        </w:rPr>
        <w:t>.  Prepared for Minnesota Department of Transportation. Report 2005-23.  Available at</w:t>
      </w:r>
      <w:r>
        <w:rPr>
          <w:rFonts w:cs="Arial"/>
          <w:bCs/>
          <w:sz w:val="18"/>
          <w:szCs w:val="18"/>
        </w:rPr>
        <w:t>:</w:t>
      </w:r>
      <w:r w:rsidRPr="003D5FE0">
        <w:rPr>
          <w:rFonts w:cs="Arial"/>
          <w:bCs/>
          <w:sz w:val="18"/>
          <w:szCs w:val="18"/>
        </w:rPr>
        <w:t xml:space="preserve"> &lt;</w:t>
      </w:r>
      <w:hyperlink r:id="rId46" w:history="1">
        <w:r w:rsidRPr="003D5FE0">
          <w:rPr>
            <w:rStyle w:val="Hyperlink"/>
            <w:rFonts w:cs="Arial"/>
            <w:color w:val="auto"/>
            <w:sz w:val="18"/>
            <w:szCs w:val="18"/>
          </w:rPr>
          <w:t>http://www.lrrb.org/pdf/200523.pdf</w:t>
        </w:r>
      </w:hyperlink>
      <w:r w:rsidRPr="003D5FE0">
        <w:rPr>
          <w:rFonts w:cs="Arial"/>
          <w:sz w:val="18"/>
          <w:szCs w:val="18"/>
        </w:rPr>
        <w:t>&gt;.</w:t>
      </w:r>
    </w:p>
    <w:p w:rsidR="00E659D3" w:rsidRDefault="00E659D3" w:rsidP="005F74AA">
      <w:pPr>
        <w:ind w:left="360" w:hanging="360"/>
        <w:rPr>
          <w:rFonts w:ascii="Times New Roman" w:hAnsi="Times New Roman"/>
          <w:sz w:val="18"/>
          <w:szCs w:val="18"/>
        </w:rPr>
      </w:pPr>
    </w:p>
    <w:p w:rsidR="00E659D3" w:rsidRDefault="00E659D3" w:rsidP="005F74AA">
      <w:pPr>
        <w:ind w:left="360" w:hanging="360"/>
        <w:rPr>
          <w:rFonts w:ascii="Times New Roman" w:hAnsi="Times New Roman"/>
          <w:sz w:val="18"/>
          <w:szCs w:val="18"/>
        </w:rPr>
      </w:pPr>
    </w:p>
    <w:p w:rsidR="00E659D3" w:rsidRDefault="00E659D3" w:rsidP="005F74AA">
      <w:pPr>
        <w:ind w:left="360" w:hanging="360"/>
        <w:rPr>
          <w:rFonts w:ascii="Times New Roman" w:hAnsi="Times New Roman"/>
          <w:sz w:val="18"/>
          <w:szCs w:val="18"/>
        </w:rPr>
      </w:pPr>
    </w:p>
    <w:p w:rsidR="00E659D3" w:rsidRDefault="00E659D3" w:rsidP="005F74AA">
      <w:pPr>
        <w:ind w:left="360" w:hanging="360"/>
        <w:rPr>
          <w:rFonts w:cs="Arial"/>
          <w:b/>
          <w:sz w:val="18"/>
          <w:szCs w:val="18"/>
        </w:rPr>
      </w:pPr>
      <w:r w:rsidRPr="009D0A2B">
        <w:rPr>
          <w:rFonts w:cs="Arial"/>
          <w:b/>
          <w:sz w:val="18"/>
          <w:szCs w:val="18"/>
        </w:rPr>
        <w:t>Additional Resources on Rain Gardens and Bioretention:</w:t>
      </w:r>
    </w:p>
    <w:p w:rsidR="00E659D3" w:rsidRPr="009D0A2B" w:rsidRDefault="00E659D3" w:rsidP="005F74AA">
      <w:pPr>
        <w:ind w:left="360" w:hanging="360"/>
        <w:rPr>
          <w:rFonts w:cs="Arial"/>
          <w:b/>
          <w:sz w:val="18"/>
          <w:szCs w:val="18"/>
        </w:rPr>
      </w:pPr>
    </w:p>
    <w:p w:rsidR="00E659D3" w:rsidRPr="003D5FE0" w:rsidRDefault="00E659D3" w:rsidP="009D0A2B">
      <w:pPr>
        <w:pStyle w:val="bullet"/>
        <w:numPr>
          <w:ilvl w:val="0"/>
          <w:numId w:val="43"/>
        </w:numPr>
        <w:rPr>
          <w:b/>
          <w:i/>
          <w:sz w:val="18"/>
          <w:szCs w:val="18"/>
        </w:rPr>
      </w:pPr>
      <w:r w:rsidRPr="003D5FE0">
        <w:rPr>
          <w:i/>
          <w:sz w:val="18"/>
          <w:szCs w:val="18"/>
        </w:rPr>
        <w:t xml:space="preserve">Los Angeles County BMP Design Criteria </w:t>
      </w:r>
      <w:r w:rsidRPr="003D5FE0">
        <w:rPr>
          <w:sz w:val="18"/>
          <w:szCs w:val="18"/>
        </w:rPr>
        <w:t>(</w:t>
      </w:r>
      <w:hyperlink r:id="rId47" w:history="1">
        <w:r w:rsidRPr="003D5FE0">
          <w:rPr>
            <w:rStyle w:val="Hyperlink"/>
            <w:color w:val="auto"/>
            <w:sz w:val="18"/>
            <w:szCs w:val="18"/>
          </w:rPr>
          <w:t>http://www.ci.chula-vista.ca.us/City_Services/ Development_Services/Engineering/ PDF%20Files/ StormWaterManual/B-1.pdf</w:t>
        </w:r>
      </w:hyperlink>
      <w:r w:rsidRPr="003D5FE0">
        <w:rPr>
          <w:sz w:val="18"/>
          <w:szCs w:val="18"/>
        </w:rPr>
        <w:t>) – Contains design protocols and considerations for bioretention applications</w:t>
      </w:r>
    </w:p>
    <w:p w:rsidR="00E659D3" w:rsidRPr="003D5FE0" w:rsidRDefault="00E659D3" w:rsidP="009D0A2B">
      <w:pPr>
        <w:pStyle w:val="bullet"/>
        <w:numPr>
          <w:ilvl w:val="0"/>
          <w:numId w:val="43"/>
        </w:numPr>
        <w:rPr>
          <w:sz w:val="18"/>
          <w:szCs w:val="18"/>
        </w:rPr>
      </w:pPr>
      <w:r w:rsidRPr="003D5FE0">
        <w:rPr>
          <w:i/>
          <w:sz w:val="18"/>
          <w:szCs w:val="18"/>
        </w:rPr>
        <w:t>University of Wisconsin – Madison, Civil &amp; Environmental Engineering Department, RECARGA</w:t>
      </w:r>
      <w:r w:rsidRPr="003D5FE0">
        <w:rPr>
          <w:sz w:val="18"/>
          <w:szCs w:val="18"/>
        </w:rPr>
        <w:t xml:space="preserve"> (</w:t>
      </w:r>
      <w:hyperlink r:id="rId48" w:history="1">
        <w:r w:rsidRPr="003D5FE0">
          <w:rPr>
            <w:rStyle w:val="Hyperlink"/>
            <w:color w:val="auto"/>
            <w:sz w:val="18"/>
            <w:szCs w:val="18"/>
          </w:rPr>
          <w:t>http://dnr.wi.gov/runoff/stormwater/technote.htm</w:t>
        </w:r>
      </w:hyperlink>
      <w:r w:rsidRPr="003D5FE0">
        <w:rPr>
          <w:sz w:val="18"/>
          <w:szCs w:val="18"/>
        </w:rPr>
        <w:t>) – Bioretention sizing tool</w:t>
      </w:r>
    </w:p>
    <w:p w:rsidR="00E659D3" w:rsidRPr="003D5FE0" w:rsidRDefault="00E659D3" w:rsidP="009D0A2B">
      <w:pPr>
        <w:pStyle w:val="bullet"/>
        <w:numPr>
          <w:ilvl w:val="0"/>
          <w:numId w:val="43"/>
        </w:numPr>
        <w:rPr>
          <w:b/>
          <w:i/>
          <w:sz w:val="18"/>
          <w:szCs w:val="18"/>
        </w:rPr>
      </w:pPr>
      <w:r w:rsidRPr="003D5FE0">
        <w:rPr>
          <w:i/>
          <w:sz w:val="18"/>
          <w:szCs w:val="18"/>
        </w:rPr>
        <w:t>North Carolina State University, Bioretention</w:t>
      </w:r>
      <w:r w:rsidRPr="003D5FE0">
        <w:rPr>
          <w:sz w:val="18"/>
          <w:szCs w:val="18"/>
        </w:rPr>
        <w:t xml:space="preserve"> Web site</w:t>
      </w:r>
      <w:r w:rsidRPr="003D5FE0">
        <w:rPr>
          <w:i/>
          <w:sz w:val="18"/>
          <w:szCs w:val="18"/>
        </w:rPr>
        <w:t xml:space="preserve">, </w:t>
      </w:r>
      <w:r w:rsidRPr="003D5FE0">
        <w:rPr>
          <w:sz w:val="18"/>
          <w:szCs w:val="18"/>
        </w:rPr>
        <w:t>(</w:t>
      </w:r>
      <w:hyperlink r:id="rId49" w:history="1">
        <w:r w:rsidRPr="003D5FE0">
          <w:rPr>
            <w:rStyle w:val="Hyperlink"/>
            <w:color w:val="auto"/>
            <w:sz w:val="18"/>
            <w:szCs w:val="18"/>
          </w:rPr>
          <w:t>http://www.bae.ncsu.edu/topic/bioretention/</w:t>
        </w:r>
      </w:hyperlink>
      <w:r w:rsidRPr="003D5FE0">
        <w:rPr>
          <w:sz w:val="18"/>
          <w:szCs w:val="18"/>
        </w:rPr>
        <w:t>) – Contains background information and current performance research on bioretention applications</w:t>
      </w:r>
    </w:p>
    <w:p w:rsidR="00E659D3" w:rsidRPr="003D5FE0" w:rsidRDefault="00E659D3" w:rsidP="009D0A2B">
      <w:pPr>
        <w:pStyle w:val="bullet"/>
        <w:numPr>
          <w:ilvl w:val="0"/>
          <w:numId w:val="43"/>
        </w:numPr>
        <w:rPr>
          <w:rStyle w:val="Bold"/>
          <w:sz w:val="18"/>
          <w:szCs w:val="18"/>
        </w:rPr>
      </w:pPr>
      <w:r w:rsidRPr="003D5FE0">
        <w:rPr>
          <w:i/>
          <w:sz w:val="18"/>
          <w:szCs w:val="18"/>
        </w:rPr>
        <w:t xml:space="preserve">Prince George’s County, Maryland Bioretention Design Specifications and Criteria, </w:t>
      </w:r>
      <w:r w:rsidRPr="003D5FE0">
        <w:rPr>
          <w:sz w:val="18"/>
          <w:szCs w:val="18"/>
        </w:rPr>
        <w:t>(</w:t>
      </w:r>
      <w:hyperlink r:id="rId50" w:history="1">
        <w:r w:rsidRPr="003D5FE0">
          <w:rPr>
            <w:rStyle w:val="Hyperlink"/>
            <w:color w:val="auto"/>
            <w:sz w:val="18"/>
            <w:szCs w:val="18"/>
          </w:rPr>
          <w:t>http://www.princegeorgescountymd.gov/der/bioretention.asp</w:t>
        </w:r>
      </w:hyperlink>
      <w:r w:rsidRPr="003D5FE0">
        <w:rPr>
          <w:sz w:val="18"/>
          <w:szCs w:val="18"/>
        </w:rPr>
        <w:t>) – Contains siting and design criteria for bioretention facilities</w:t>
      </w:r>
    </w:p>
    <w:p w:rsidR="00E659D3" w:rsidRPr="003D5FE0" w:rsidRDefault="00E659D3" w:rsidP="009D0A2B">
      <w:pPr>
        <w:pStyle w:val="bullet"/>
        <w:numPr>
          <w:ilvl w:val="0"/>
          <w:numId w:val="43"/>
        </w:numPr>
        <w:rPr>
          <w:b/>
          <w:sz w:val="18"/>
          <w:szCs w:val="18"/>
        </w:rPr>
      </w:pPr>
      <w:r w:rsidRPr="003D5FE0">
        <w:rPr>
          <w:i/>
          <w:sz w:val="18"/>
          <w:szCs w:val="18"/>
        </w:rPr>
        <w:t xml:space="preserve">Virginia Department of Conservation and Recreation, Stormwater Design Specifications </w:t>
      </w:r>
      <w:r w:rsidRPr="003D5FE0">
        <w:rPr>
          <w:sz w:val="18"/>
          <w:szCs w:val="18"/>
        </w:rPr>
        <w:t>(</w:t>
      </w:r>
      <w:hyperlink r:id="rId51" w:history="1">
        <w:r w:rsidRPr="003D5FE0">
          <w:rPr>
            <w:rStyle w:val="Hyperlink"/>
            <w:color w:val="auto"/>
            <w:sz w:val="18"/>
            <w:szCs w:val="18"/>
          </w:rPr>
          <w:t>http://www.chesapeakestormwater.net/storage/first-draft-baywide-design-specificationsi/BAYWIDE%20No%209%20BIORETENTION%20DESIGN%20SPECIFICATION.pdf</w:t>
        </w:r>
      </w:hyperlink>
      <w:r w:rsidRPr="003D5FE0">
        <w:rPr>
          <w:sz w:val="18"/>
          <w:szCs w:val="18"/>
        </w:rPr>
        <w:t>) – Contains design specifications for bioretention facilities</w:t>
      </w:r>
    </w:p>
    <w:p w:rsidR="00E659D3" w:rsidRPr="002642F5" w:rsidRDefault="00E659D3" w:rsidP="005F74AA"/>
    <w:p w:rsidR="00E659D3" w:rsidRPr="00A91DE7" w:rsidRDefault="00E659D3" w:rsidP="005F74AA">
      <w:pPr>
        <w:ind w:left="360" w:hanging="360"/>
        <w:rPr>
          <w:rFonts w:ascii="Times New Roman" w:hAnsi="Times New Roman"/>
          <w:color w:val="000000"/>
          <w:szCs w:val="20"/>
        </w:rPr>
      </w:pPr>
    </w:p>
  </w:endnote>
  <w:endnote w:id="45">
    <w:p w:rsidR="00E659D3" w:rsidRPr="009D0A2B" w:rsidRDefault="00E659D3" w:rsidP="009D0A2B">
      <w:pPr>
        <w:pStyle w:val="EndnoteText"/>
        <w:ind w:left="360" w:hanging="360"/>
        <w:rPr>
          <w:rFonts w:ascii="Arial" w:hAnsi="Arial" w:cs="Arial"/>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USEPA.  (2006).  </w:t>
      </w:r>
      <w:r w:rsidRPr="009D0A2B">
        <w:rPr>
          <w:rFonts w:ascii="Arial" w:hAnsi="Arial" w:cs="Arial"/>
          <w:i/>
          <w:sz w:val="18"/>
          <w:szCs w:val="18"/>
        </w:rPr>
        <w:t xml:space="preserve">National Pollutant Discharge Elimination System (NPDES) Menu of BMPs: Grassed Swales.  </w:t>
      </w:r>
      <w:r w:rsidRPr="009D0A2B">
        <w:rPr>
          <w:rFonts w:ascii="Arial" w:hAnsi="Arial" w:cs="Arial"/>
          <w:sz w:val="18"/>
          <w:szCs w:val="18"/>
        </w:rPr>
        <w:t>Available at</w:t>
      </w:r>
      <w:r>
        <w:rPr>
          <w:rFonts w:ascii="Arial" w:hAnsi="Arial" w:cs="Arial"/>
          <w:sz w:val="18"/>
          <w:szCs w:val="18"/>
        </w:rPr>
        <w:t>:</w:t>
      </w:r>
      <w:r w:rsidRPr="009D0A2B">
        <w:rPr>
          <w:rFonts w:ascii="Arial" w:hAnsi="Arial" w:cs="Arial"/>
          <w:sz w:val="18"/>
          <w:szCs w:val="18"/>
        </w:rPr>
        <w:t xml:space="preserve"> &lt;</w:t>
      </w:r>
      <w:hyperlink r:id="rId52" w:history="1">
        <w:r w:rsidRPr="009D0A2B">
          <w:rPr>
            <w:rStyle w:val="Hyperlink"/>
            <w:rFonts w:ascii="Arial" w:hAnsi="Arial" w:cs="Arial"/>
            <w:color w:val="auto"/>
            <w:sz w:val="18"/>
            <w:szCs w:val="18"/>
          </w:rPr>
          <w:t>http://cfpub.epa.gov/npdes/stormwater/menuofbmps/index.cfm?action=factsheet_results&amp;view=specific&amp;bmp=75&amp;minmeasure=5</w:t>
        </w:r>
      </w:hyperlink>
      <w:r w:rsidRPr="009D0A2B">
        <w:rPr>
          <w:rFonts w:ascii="Arial" w:hAnsi="Arial" w:cs="Arial"/>
          <w:sz w:val="18"/>
          <w:szCs w:val="18"/>
        </w:rPr>
        <w:t xml:space="preserve">&gt;. </w:t>
      </w:r>
    </w:p>
  </w:endnote>
  <w:endnote w:id="46">
    <w:p w:rsidR="00E659D3" w:rsidRPr="009D0A2B" w:rsidRDefault="00E659D3" w:rsidP="009D0A2B">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Pennsylvania Department of Environmental Protection, Bureau of Watershed Management.  (2006).  </w:t>
      </w:r>
      <w:r>
        <w:rPr>
          <w:rFonts w:ascii="Arial" w:hAnsi="Arial" w:cs="Arial"/>
          <w:i/>
          <w:sz w:val="18"/>
          <w:szCs w:val="18"/>
        </w:rPr>
        <w:t xml:space="preserve">Pennsylvania Stormwater </w:t>
      </w:r>
      <w:r w:rsidRPr="009D0A2B">
        <w:rPr>
          <w:rFonts w:ascii="Arial" w:hAnsi="Arial" w:cs="Arial"/>
          <w:i/>
          <w:sz w:val="18"/>
          <w:szCs w:val="18"/>
        </w:rPr>
        <w:t xml:space="preserve">Best Management Practices Manual.  </w:t>
      </w:r>
      <w:r w:rsidRPr="009D0A2B">
        <w:rPr>
          <w:rFonts w:ascii="Arial" w:hAnsi="Arial" w:cs="Arial"/>
          <w:sz w:val="18"/>
          <w:szCs w:val="18"/>
        </w:rPr>
        <w:t>685 pp.  Available at</w:t>
      </w:r>
      <w:r>
        <w:rPr>
          <w:rFonts w:ascii="Arial" w:hAnsi="Arial" w:cs="Arial"/>
          <w:sz w:val="18"/>
          <w:szCs w:val="18"/>
        </w:rPr>
        <w:t>:</w:t>
      </w:r>
      <w:r>
        <w:rPr>
          <w:rFonts w:ascii="Arial" w:hAnsi="Arial" w:cs="Arial"/>
          <w:i/>
          <w:sz w:val="18"/>
          <w:szCs w:val="18"/>
        </w:rPr>
        <w:t xml:space="preserve"> </w:t>
      </w:r>
      <w:r w:rsidRPr="009D0A2B">
        <w:rPr>
          <w:rFonts w:ascii="Arial" w:hAnsi="Arial" w:cs="Arial"/>
          <w:i/>
          <w:sz w:val="18"/>
          <w:szCs w:val="18"/>
        </w:rPr>
        <w:t>&lt;</w:t>
      </w:r>
      <w:hyperlink r:id="rId53" w:history="1">
        <w:r w:rsidRPr="009D0A2B">
          <w:rPr>
            <w:rStyle w:val="Hyperlink"/>
            <w:rFonts w:ascii="Arial" w:hAnsi="Arial" w:cs="Arial"/>
            <w:color w:val="auto"/>
            <w:sz w:val="18"/>
            <w:szCs w:val="18"/>
          </w:rPr>
          <w:t>http://www.elibrary.dep.state.pa.us/dsweb/View/Collection-8305</w:t>
        </w:r>
      </w:hyperlink>
      <w:r w:rsidRPr="009D0A2B">
        <w:rPr>
          <w:rFonts w:ascii="Arial" w:hAnsi="Arial" w:cs="Arial"/>
          <w:sz w:val="18"/>
          <w:szCs w:val="18"/>
        </w:rPr>
        <w:t>&gt;.</w:t>
      </w:r>
    </w:p>
  </w:endnote>
  <w:endnote w:id="47">
    <w:p w:rsidR="00E659D3" w:rsidRPr="009D0A2B" w:rsidRDefault="00E659D3" w:rsidP="009D0A2B">
      <w:pPr>
        <w:pStyle w:val="EndnoteText"/>
        <w:ind w:left="360" w:hanging="360"/>
        <w:rPr>
          <w:rFonts w:ascii="Arial" w:hAnsi="Arial" w:cs="Arial"/>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USEPA.  (2006).  </w:t>
      </w:r>
      <w:r w:rsidRPr="009D0A2B">
        <w:rPr>
          <w:rFonts w:ascii="Arial" w:hAnsi="Arial" w:cs="Arial"/>
          <w:i/>
          <w:sz w:val="18"/>
          <w:szCs w:val="18"/>
        </w:rPr>
        <w:t xml:space="preserve">National Pollutant Discharge Elimination System (NPDES) Menu of BMPs: Grassed Swales.  </w:t>
      </w:r>
      <w:r>
        <w:rPr>
          <w:rFonts w:ascii="Arial" w:hAnsi="Arial" w:cs="Arial"/>
          <w:sz w:val="18"/>
          <w:szCs w:val="18"/>
        </w:rPr>
        <w:t xml:space="preserve">Available at: </w:t>
      </w:r>
      <w:r w:rsidRPr="009D0A2B">
        <w:rPr>
          <w:rFonts w:ascii="Arial" w:hAnsi="Arial" w:cs="Arial"/>
          <w:sz w:val="18"/>
          <w:szCs w:val="18"/>
        </w:rPr>
        <w:t>&lt;</w:t>
      </w:r>
      <w:hyperlink r:id="rId54" w:history="1">
        <w:r w:rsidRPr="009D0A2B">
          <w:rPr>
            <w:rStyle w:val="Hyperlink"/>
            <w:rFonts w:ascii="Arial" w:hAnsi="Arial" w:cs="Arial"/>
            <w:color w:val="auto"/>
            <w:sz w:val="18"/>
            <w:szCs w:val="18"/>
          </w:rPr>
          <w:t>http://cfpub.epa.gov/npdes/stormwater/menuofbmps/index.cfm?action=factsheet_results&amp;view=specific&amp;bmp=75&amp;minmeasure=5</w:t>
        </w:r>
      </w:hyperlink>
      <w:r w:rsidRPr="009D0A2B">
        <w:rPr>
          <w:rFonts w:ascii="Arial" w:hAnsi="Arial" w:cs="Arial"/>
          <w:sz w:val="18"/>
          <w:szCs w:val="18"/>
        </w:rPr>
        <w:t>&gt;.</w:t>
      </w:r>
    </w:p>
  </w:endnote>
  <w:endnote w:id="48">
    <w:p w:rsidR="00E659D3" w:rsidRPr="009D0A2B" w:rsidRDefault="00E659D3" w:rsidP="009D0A2B">
      <w:pPr>
        <w:pStyle w:val="EndnoteText"/>
        <w:ind w:left="360" w:hanging="360"/>
        <w:rPr>
          <w:rFonts w:ascii="Arial" w:hAnsi="Arial" w:cs="Arial"/>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Tredyffrin Township, Chester County Pennsylvania Department of Public Works.  </w:t>
      </w:r>
      <w:r w:rsidRPr="009D0A2B">
        <w:rPr>
          <w:rFonts w:ascii="Arial" w:hAnsi="Arial" w:cs="Arial"/>
          <w:i/>
          <w:sz w:val="18"/>
          <w:szCs w:val="18"/>
        </w:rPr>
        <w:t xml:space="preserve">Vegetated Swale.  </w:t>
      </w:r>
      <w:r w:rsidRPr="009D0A2B">
        <w:rPr>
          <w:rFonts w:ascii="Arial" w:hAnsi="Arial" w:cs="Arial"/>
          <w:sz w:val="18"/>
          <w:szCs w:val="18"/>
        </w:rPr>
        <w:t xml:space="preserve">9 pp.  </w:t>
      </w:r>
      <w:r>
        <w:rPr>
          <w:rFonts w:ascii="Arial" w:hAnsi="Arial" w:cs="Arial"/>
          <w:sz w:val="18"/>
          <w:szCs w:val="18"/>
        </w:rPr>
        <w:t xml:space="preserve">Available at: </w:t>
      </w:r>
      <w:r w:rsidRPr="009D0A2B">
        <w:rPr>
          <w:rFonts w:ascii="Arial" w:hAnsi="Arial" w:cs="Arial"/>
          <w:sz w:val="18"/>
          <w:szCs w:val="18"/>
        </w:rPr>
        <w:t>&lt;</w:t>
      </w:r>
      <w:hyperlink r:id="rId55" w:history="1">
        <w:r w:rsidRPr="009D0A2B">
          <w:rPr>
            <w:rStyle w:val="Hyperlink"/>
            <w:rFonts w:ascii="Arial" w:hAnsi="Arial" w:cs="Arial"/>
            <w:color w:val="auto"/>
            <w:sz w:val="18"/>
            <w:szCs w:val="18"/>
          </w:rPr>
          <w:t>http://www.tredyffrin.org/pdf/publicworks/CH2 percent20- percent20BMP2 percent20Vegetated percent20Swale.pdf</w:t>
        </w:r>
      </w:hyperlink>
      <w:r w:rsidRPr="009D0A2B">
        <w:rPr>
          <w:rFonts w:ascii="Arial" w:hAnsi="Arial" w:cs="Arial"/>
          <w:sz w:val="18"/>
          <w:szCs w:val="18"/>
        </w:rPr>
        <w:t>&gt;.</w:t>
      </w:r>
    </w:p>
  </w:endnote>
  <w:endnote w:id="49">
    <w:p w:rsidR="00E659D3" w:rsidRPr="009D0A2B" w:rsidRDefault="00E659D3" w:rsidP="009D0A2B">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Pennsylvania Department of Environmental Protection, Bureau of Watershed Management.  (2006).  </w:t>
      </w:r>
      <w:r>
        <w:rPr>
          <w:rFonts w:ascii="Arial" w:hAnsi="Arial" w:cs="Arial"/>
          <w:i/>
          <w:sz w:val="18"/>
          <w:szCs w:val="18"/>
        </w:rPr>
        <w:t xml:space="preserve">Pennsylvania Stormwater </w:t>
      </w:r>
      <w:r w:rsidRPr="009D0A2B">
        <w:rPr>
          <w:rFonts w:ascii="Arial" w:hAnsi="Arial" w:cs="Arial"/>
          <w:i/>
          <w:sz w:val="18"/>
          <w:szCs w:val="18"/>
        </w:rPr>
        <w:t xml:space="preserve">Best Management Practices Manual.  </w:t>
      </w:r>
      <w:r w:rsidRPr="009D0A2B">
        <w:rPr>
          <w:rFonts w:ascii="Arial" w:hAnsi="Arial" w:cs="Arial"/>
          <w:sz w:val="18"/>
          <w:szCs w:val="18"/>
        </w:rPr>
        <w:t>685 pp.  Available at</w:t>
      </w:r>
      <w:r>
        <w:rPr>
          <w:rFonts w:ascii="Arial" w:hAnsi="Arial" w:cs="Arial"/>
          <w:sz w:val="18"/>
          <w:szCs w:val="18"/>
        </w:rPr>
        <w:t>:</w:t>
      </w:r>
      <w:r>
        <w:rPr>
          <w:rFonts w:ascii="Arial" w:hAnsi="Arial" w:cs="Arial"/>
          <w:i/>
          <w:sz w:val="18"/>
          <w:szCs w:val="18"/>
        </w:rPr>
        <w:t xml:space="preserve"> </w:t>
      </w:r>
      <w:r w:rsidRPr="009D0A2B">
        <w:rPr>
          <w:rFonts w:ascii="Arial" w:hAnsi="Arial" w:cs="Arial"/>
          <w:i/>
          <w:sz w:val="18"/>
          <w:szCs w:val="18"/>
        </w:rPr>
        <w:t>&lt;</w:t>
      </w:r>
      <w:hyperlink r:id="rId56" w:history="1">
        <w:r w:rsidRPr="009D0A2B">
          <w:rPr>
            <w:rStyle w:val="Hyperlink"/>
            <w:rFonts w:ascii="Arial" w:hAnsi="Arial" w:cs="Arial"/>
            <w:color w:val="auto"/>
            <w:sz w:val="18"/>
            <w:szCs w:val="18"/>
          </w:rPr>
          <w:t>http://www.elibrary.dep.state.pa.us/dsweb/View/Collection-8305</w:t>
        </w:r>
      </w:hyperlink>
      <w:r w:rsidRPr="009D0A2B">
        <w:rPr>
          <w:rFonts w:ascii="Arial" w:hAnsi="Arial" w:cs="Arial"/>
          <w:sz w:val="18"/>
          <w:szCs w:val="18"/>
        </w:rPr>
        <w:t>&gt;.</w:t>
      </w:r>
    </w:p>
  </w:endnote>
  <w:endnote w:id="50">
    <w:p w:rsidR="00E659D3" w:rsidRPr="009D0A2B" w:rsidRDefault="00E659D3" w:rsidP="009D0A2B">
      <w:pPr>
        <w:pStyle w:val="EndnoteText"/>
        <w:ind w:left="360" w:hanging="360"/>
        <w:rPr>
          <w:rFonts w:ascii="Arial" w:hAnsi="Arial" w:cs="Arial"/>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USEPA.  (2006).  </w:t>
      </w:r>
      <w:r w:rsidRPr="009D0A2B">
        <w:rPr>
          <w:rFonts w:ascii="Arial" w:hAnsi="Arial" w:cs="Arial"/>
          <w:i/>
          <w:sz w:val="18"/>
          <w:szCs w:val="18"/>
        </w:rPr>
        <w:t xml:space="preserve">National Pollutant Discharge Elimination System (NPDES) Menu of BMPs: Grassed Swales.  </w:t>
      </w:r>
      <w:r>
        <w:rPr>
          <w:rFonts w:ascii="Arial" w:hAnsi="Arial" w:cs="Arial"/>
          <w:sz w:val="18"/>
          <w:szCs w:val="18"/>
        </w:rPr>
        <w:t xml:space="preserve">Available at: </w:t>
      </w:r>
      <w:r w:rsidRPr="009D0A2B">
        <w:rPr>
          <w:rFonts w:ascii="Arial" w:hAnsi="Arial" w:cs="Arial"/>
          <w:sz w:val="18"/>
          <w:szCs w:val="18"/>
        </w:rPr>
        <w:t>&lt;</w:t>
      </w:r>
      <w:hyperlink r:id="rId57" w:history="1">
        <w:r w:rsidRPr="009D0A2B">
          <w:rPr>
            <w:rStyle w:val="Hyperlink"/>
            <w:rFonts w:ascii="Arial" w:hAnsi="Arial" w:cs="Arial"/>
            <w:color w:val="auto"/>
            <w:sz w:val="18"/>
            <w:szCs w:val="18"/>
          </w:rPr>
          <w:t>http://cfpub.epa.gov/npdes/stormwater/menuofbmps/index.cfm?action=factsheet_results&amp;view=specific&amp;bmp=75&amp;minmeasure=5</w:t>
        </w:r>
      </w:hyperlink>
      <w:r w:rsidRPr="009D0A2B">
        <w:rPr>
          <w:rFonts w:ascii="Arial" w:hAnsi="Arial" w:cs="Arial"/>
          <w:sz w:val="18"/>
          <w:szCs w:val="18"/>
        </w:rPr>
        <w:t>&gt;.</w:t>
      </w:r>
    </w:p>
  </w:endnote>
  <w:endnote w:id="51">
    <w:p w:rsidR="00E659D3" w:rsidRPr="009D0A2B" w:rsidRDefault="00E659D3" w:rsidP="009D0A2B">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Charles River Watershed Association.  (2008).  </w:t>
      </w:r>
      <w:r w:rsidRPr="009D0A2B">
        <w:rPr>
          <w:rFonts w:ascii="Arial" w:hAnsi="Arial" w:cs="Arial"/>
          <w:i/>
          <w:sz w:val="18"/>
          <w:szCs w:val="18"/>
        </w:rPr>
        <w:t xml:space="preserve">Low Impact Best Management Practice (BMP) Information Sheet: Vegetated Swale.  </w:t>
      </w:r>
      <w:r w:rsidRPr="009D0A2B">
        <w:rPr>
          <w:rFonts w:ascii="Arial" w:hAnsi="Arial" w:cs="Arial"/>
          <w:sz w:val="18"/>
          <w:szCs w:val="18"/>
        </w:rPr>
        <w:t>2pp.  Available at</w:t>
      </w:r>
      <w:r>
        <w:rPr>
          <w:rFonts w:ascii="Arial" w:hAnsi="Arial" w:cs="Arial"/>
          <w:sz w:val="18"/>
          <w:szCs w:val="18"/>
        </w:rPr>
        <w:t>:</w:t>
      </w:r>
      <w:r w:rsidRPr="009D0A2B">
        <w:rPr>
          <w:rFonts w:ascii="Arial" w:hAnsi="Arial" w:cs="Arial"/>
          <w:sz w:val="18"/>
          <w:szCs w:val="18"/>
        </w:rPr>
        <w:t xml:space="preserve"> &lt;</w:t>
      </w:r>
      <w:hyperlink r:id="rId58" w:history="1">
        <w:r w:rsidRPr="009D0A2B">
          <w:rPr>
            <w:rStyle w:val="Hyperlink"/>
            <w:rFonts w:ascii="Arial" w:hAnsi="Arial" w:cs="Arial"/>
            <w:color w:val="auto"/>
            <w:sz w:val="18"/>
            <w:szCs w:val="18"/>
          </w:rPr>
          <w:t>http://www.crwa.org/projects/bmpfactsheets/crwa_vegetated_swale.pdf</w:t>
        </w:r>
      </w:hyperlink>
      <w:r w:rsidRPr="009D0A2B">
        <w:rPr>
          <w:rFonts w:ascii="Arial" w:hAnsi="Arial" w:cs="Arial"/>
          <w:sz w:val="18"/>
          <w:szCs w:val="18"/>
        </w:rPr>
        <w:t>&gt;.</w:t>
      </w:r>
    </w:p>
  </w:endnote>
  <w:endnote w:id="52">
    <w:p w:rsidR="00E659D3" w:rsidRPr="009D0A2B" w:rsidRDefault="00E659D3" w:rsidP="009D0A2B">
      <w:pPr>
        <w:pStyle w:val="EndnoteText"/>
        <w:ind w:left="360" w:hanging="360"/>
        <w:rPr>
          <w:rFonts w:ascii="Arial" w:hAnsi="Arial" w:cs="Arial"/>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USEPA.  (2006).  </w:t>
      </w:r>
      <w:r w:rsidRPr="009D0A2B">
        <w:rPr>
          <w:rFonts w:ascii="Arial" w:hAnsi="Arial" w:cs="Arial"/>
          <w:i/>
          <w:sz w:val="18"/>
          <w:szCs w:val="18"/>
        </w:rPr>
        <w:t xml:space="preserve">National Pollutant Discharge Elimination System (NPDES) Menu of BMPs: Grassed Swales.  </w:t>
      </w:r>
      <w:r>
        <w:rPr>
          <w:rFonts w:ascii="Arial" w:hAnsi="Arial" w:cs="Arial"/>
          <w:sz w:val="18"/>
          <w:szCs w:val="18"/>
        </w:rPr>
        <w:t xml:space="preserve">Available at: </w:t>
      </w:r>
      <w:r w:rsidRPr="009D0A2B">
        <w:rPr>
          <w:rFonts w:ascii="Arial" w:hAnsi="Arial" w:cs="Arial"/>
          <w:sz w:val="18"/>
          <w:szCs w:val="18"/>
        </w:rPr>
        <w:t>&lt;</w:t>
      </w:r>
      <w:hyperlink r:id="rId59" w:history="1">
        <w:r w:rsidRPr="009D0A2B">
          <w:rPr>
            <w:rStyle w:val="Hyperlink"/>
            <w:rFonts w:ascii="Arial" w:hAnsi="Arial" w:cs="Arial"/>
            <w:color w:val="auto"/>
            <w:sz w:val="18"/>
            <w:szCs w:val="18"/>
          </w:rPr>
          <w:t>http://cfpub.epa.gov/npdes/stormwater/menuofbmps/index.cfm?action=factsheet_results&amp;view=specific&amp;bmp=75&amp;minmeasure=5</w:t>
        </w:r>
      </w:hyperlink>
      <w:r w:rsidRPr="009D0A2B">
        <w:rPr>
          <w:rFonts w:ascii="Arial" w:hAnsi="Arial" w:cs="Arial"/>
          <w:sz w:val="18"/>
          <w:szCs w:val="18"/>
        </w:rPr>
        <w:t>&gt;.</w:t>
      </w:r>
    </w:p>
  </w:endnote>
  <w:endnote w:id="53">
    <w:p w:rsidR="00E659D3" w:rsidRPr="009D0A2B" w:rsidRDefault="00E659D3" w:rsidP="009D0A2B">
      <w:pPr>
        <w:pStyle w:val="EndnoteText"/>
        <w:ind w:left="360" w:hanging="360"/>
        <w:rPr>
          <w:rFonts w:ascii="Arial" w:hAnsi="Arial" w:cs="Arial"/>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USEPA.  (2006).  </w:t>
      </w:r>
      <w:r w:rsidRPr="009D0A2B">
        <w:rPr>
          <w:rFonts w:ascii="Arial" w:hAnsi="Arial" w:cs="Arial"/>
          <w:i/>
          <w:sz w:val="18"/>
          <w:szCs w:val="18"/>
        </w:rPr>
        <w:t xml:space="preserve">National Pollutant Discharge Elimination System (NPDES) Menu of BMPs: Grassed Swales.  </w:t>
      </w:r>
      <w:r>
        <w:rPr>
          <w:rFonts w:ascii="Arial" w:hAnsi="Arial" w:cs="Arial"/>
          <w:sz w:val="18"/>
          <w:szCs w:val="18"/>
        </w:rPr>
        <w:t xml:space="preserve">Available at: </w:t>
      </w:r>
      <w:r w:rsidRPr="009D0A2B">
        <w:rPr>
          <w:rFonts w:ascii="Arial" w:hAnsi="Arial" w:cs="Arial"/>
          <w:sz w:val="18"/>
          <w:szCs w:val="18"/>
        </w:rPr>
        <w:t>&lt;</w:t>
      </w:r>
      <w:hyperlink r:id="rId60" w:history="1">
        <w:r w:rsidRPr="009D0A2B">
          <w:rPr>
            <w:rStyle w:val="Hyperlink"/>
            <w:rFonts w:ascii="Arial" w:hAnsi="Arial" w:cs="Arial"/>
            <w:color w:val="auto"/>
            <w:sz w:val="18"/>
            <w:szCs w:val="18"/>
          </w:rPr>
          <w:t>http://cfpub.epa.gov/npdes/stormwater/menuofbmps/index.cfm?action=factsheet_results&amp;view=specific&amp;bmp=75&amp;minmeasure=5</w:t>
        </w:r>
      </w:hyperlink>
      <w:r w:rsidRPr="009D0A2B">
        <w:rPr>
          <w:rFonts w:ascii="Arial" w:hAnsi="Arial" w:cs="Arial"/>
          <w:sz w:val="18"/>
          <w:szCs w:val="18"/>
        </w:rPr>
        <w:t>&gt;.</w:t>
      </w:r>
    </w:p>
  </w:endnote>
  <w:endnote w:id="54">
    <w:p w:rsidR="00E659D3" w:rsidRPr="009D0A2B" w:rsidRDefault="00E659D3" w:rsidP="009D0A2B">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Kloss, C and Calarusse, C.  (2006).  </w:t>
      </w:r>
      <w:r w:rsidRPr="009D0A2B">
        <w:rPr>
          <w:rFonts w:ascii="Arial" w:hAnsi="Arial" w:cs="Arial"/>
          <w:i/>
          <w:sz w:val="18"/>
          <w:szCs w:val="18"/>
        </w:rPr>
        <w:t>Rooftops to Rivers: Green Strategies for Controlling</w:t>
      </w:r>
      <w:r>
        <w:rPr>
          <w:rFonts w:ascii="Arial" w:hAnsi="Arial" w:cs="Arial"/>
          <w:i/>
          <w:sz w:val="18"/>
          <w:szCs w:val="18"/>
        </w:rPr>
        <w:t xml:space="preserve"> Stormwater and Combined Sewer </w:t>
      </w:r>
      <w:r w:rsidRPr="009D0A2B">
        <w:rPr>
          <w:rFonts w:ascii="Arial" w:hAnsi="Arial" w:cs="Arial"/>
          <w:i/>
          <w:sz w:val="18"/>
          <w:szCs w:val="18"/>
        </w:rPr>
        <w:t xml:space="preserve">Overflows.  </w:t>
      </w:r>
      <w:r w:rsidRPr="009D0A2B">
        <w:rPr>
          <w:rFonts w:ascii="Arial" w:hAnsi="Arial" w:cs="Arial"/>
          <w:sz w:val="18"/>
          <w:szCs w:val="18"/>
        </w:rPr>
        <w:t>Prepared for the Natural Resources Defense Council.  56 pp. Available at</w:t>
      </w:r>
      <w:r>
        <w:rPr>
          <w:rFonts w:ascii="Arial" w:hAnsi="Arial" w:cs="Arial"/>
          <w:sz w:val="18"/>
          <w:szCs w:val="18"/>
        </w:rPr>
        <w:t>:</w:t>
      </w:r>
      <w:r w:rsidRPr="009D0A2B">
        <w:rPr>
          <w:rFonts w:ascii="Arial" w:hAnsi="Arial" w:cs="Arial"/>
          <w:sz w:val="18"/>
          <w:szCs w:val="18"/>
        </w:rPr>
        <w:t xml:space="preserve"> &lt;</w:t>
      </w:r>
      <w:hyperlink r:id="rId61" w:history="1">
        <w:r w:rsidRPr="009D0A2B">
          <w:rPr>
            <w:rStyle w:val="Hyperlink"/>
            <w:rFonts w:ascii="Arial" w:hAnsi="Arial" w:cs="Arial"/>
            <w:color w:val="auto"/>
            <w:sz w:val="18"/>
            <w:szCs w:val="18"/>
          </w:rPr>
          <w:t>http://www.nrdc.org/water/pollution/rooftops/contents.asp</w:t>
        </w:r>
      </w:hyperlink>
      <w:r w:rsidRPr="009D0A2B">
        <w:rPr>
          <w:rFonts w:ascii="Arial" w:hAnsi="Arial" w:cs="Arial"/>
          <w:sz w:val="18"/>
          <w:szCs w:val="18"/>
        </w:rPr>
        <w:t>&gt;.</w:t>
      </w:r>
    </w:p>
  </w:endnote>
  <w:endnote w:id="55">
    <w:p w:rsidR="00E659D3" w:rsidRPr="009D0A2B" w:rsidRDefault="00E659D3" w:rsidP="009D0A2B">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Pennsylvania Department of Environmental Protection, Bureau of Watershed Management.  (2006).  </w:t>
      </w:r>
      <w:r>
        <w:rPr>
          <w:rFonts w:ascii="Arial" w:hAnsi="Arial" w:cs="Arial"/>
          <w:i/>
          <w:sz w:val="18"/>
          <w:szCs w:val="18"/>
        </w:rPr>
        <w:t xml:space="preserve">Pennsylvania Stormwater </w:t>
      </w:r>
      <w:r w:rsidRPr="009D0A2B">
        <w:rPr>
          <w:rFonts w:ascii="Arial" w:hAnsi="Arial" w:cs="Arial"/>
          <w:i/>
          <w:sz w:val="18"/>
          <w:szCs w:val="18"/>
        </w:rPr>
        <w:t xml:space="preserve">Best Management Practices Manual.  </w:t>
      </w:r>
      <w:r w:rsidRPr="009D0A2B">
        <w:rPr>
          <w:rFonts w:ascii="Arial" w:hAnsi="Arial" w:cs="Arial"/>
          <w:sz w:val="18"/>
          <w:szCs w:val="18"/>
        </w:rPr>
        <w:t>685 pp.  Available at</w:t>
      </w:r>
      <w:r>
        <w:rPr>
          <w:rFonts w:ascii="Arial" w:hAnsi="Arial" w:cs="Arial"/>
          <w:sz w:val="18"/>
          <w:szCs w:val="18"/>
        </w:rPr>
        <w:t>:</w:t>
      </w:r>
      <w:r>
        <w:rPr>
          <w:rFonts w:ascii="Arial" w:hAnsi="Arial" w:cs="Arial"/>
          <w:i/>
          <w:sz w:val="18"/>
          <w:szCs w:val="18"/>
        </w:rPr>
        <w:t xml:space="preserve"> </w:t>
      </w:r>
      <w:r w:rsidRPr="009D0A2B">
        <w:rPr>
          <w:rFonts w:ascii="Arial" w:hAnsi="Arial" w:cs="Arial"/>
          <w:i/>
          <w:sz w:val="18"/>
          <w:szCs w:val="18"/>
        </w:rPr>
        <w:t>&lt;</w:t>
      </w:r>
      <w:hyperlink r:id="rId62" w:history="1">
        <w:r w:rsidRPr="009D0A2B">
          <w:rPr>
            <w:rStyle w:val="Hyperlink"/>
            <w:rFonts w:ascii="Arial" w:hAnsi="Arial" w:cs="Arial"/>
            <w:color w:val="auto"/>
            <w:sz w:val="18"/>
            <w:szCs w:val="18"/>
          </w:rPr>
          <w:t>http://www.elibrary.dep.state.pa.us/dsweb/View/Collection-8305</w:t>
        </w:r>
      </w:hyperlink>
      <w:r w:rsidRPr="009D0A2B">
        <w:rPr>
          <w:rFonts w:ascii="Arial" w:hAnsi="Arial" w:cs="Arial"/>
          <w:sz w:val="18"/>
          <w:szCs w:val="18"/>
        </w:rPr>
        <w:t>&gt;.</w:t>
      </w:r>
    </w:p>
  </w:endnote>
  <w:endnote w:id="56">
    <w:p w:rsidR="00E659D3" w:rsidRPr="009D0A2B" w:rsidRDefault="00E659D3" w:rsidP="009D0A2B">
      <w:pPr>
        <w:pStyle w:val="EndnoteText"/>
        <w:ind w:left="360" w:hanging="360"/>
        <w:rPr>
          <w:rFonts w:ascii="Arial" w:hAnsi="Arial" w:cs="Arial"/>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USEPA.  (2006).  </w:t>
      </w:r>
      <w:r w:rsidRPr="009D0A2B">
        <w:rPr>
          <w:rFonts w:ascii="Arial" w:hAnsi="Arial" w:cs="Arial"/>
          <w:i/>
          <w:sz w:val="18"/>
          <w:szCs w:val="18"/>
        </w:rPr>
        <w:t xml:space="preserve">National Pollutant Discharge Elimination System (NPDES) Menu of BMPs: Grassed Swales.  </w:t>
      </w:r>
      <w:r>
        <w:rPr>
          <w:rFonts w:ascii="Arial" w:hAnsi="Arial" w:cs="Arial"/>
          <w:sz w:val="18"/>
          <w:szCs w:val="18"/>
        </w:rPr>
        <w:t xml:space="preserve">Available at: </w:t>
      </w:r>
      <w:r w:rsidRPr="009D0A2B">
        <w:rPr>
          <w:rFonts w:ascii="Arial" w:hAnsi="Arial" w:cs="Arial"/>
          <w:sz w:val="18"/>
          <w:szCs w:val="18"/>
        </w:rPr>
        <w:t>&lt;</w:t>
      </w:r>
      <w:hyperlink r:id="rId63" w:history="1">
        <w:r w:rsidRPr="009D0A2B">
          <w:rPr>
            <w:rStyle w:val="Hyperlink"/>
            <w:rFonts w:ascii="Arial" w:hAnsi="Arial" w:cs="Arial"/>
            <w:color w:val="auto"/>
            <w:sz w:val="18"/>
            <w:szCs w:val="18"/>
          </w:rPr>
          <w:t>http://cfpub.epa.gov/npdes/stormwater/menuofbmps/index.cfm?action=factsheet_results&amp;view=specific&amp;bmp=75&amp;minmeasure=5</w:t>
        </w:r>
      </w:hyperlink>
      <w:r w:rsidRPr="009D0A2B">
        <w:rPr>
          <w:rFonts w:ascii="Arial" w:hAnsi="Arial" w:cs="Arial"/>
          <w:sz w:val="18"/>
          <w:szCs w:val="18"/>
        </w:rPr>
        <w:t>&gt;.</w:t>
      </w:r>
    </w:p>
  </w:endnote>
  <w:endnote w:id="57">
    <w:p w:rsidR="00E659D3" w:rsidRPr="009D0A2B" w:rsidRDefault="00E659D3" w:rsidP="009D0A2B">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Pennsylvania Department of Environmental Protection, Bureau of Watershed Management.  (2006).  </w:t>
      </w:r>
      <w:r>
        <w:rPr>
          <w:rFonts w:ascii="Arial" w:hAnsi="Arial" w:cs="Arial"/>
          <w:i/>
          <w:sz w:val="18"/>
          <w:szCs w:val="18"/>
        </w:rPr>
        <w:t xml:space="preserve">Pennsylvania </w:t>
      </w:r>
      <w:r w:rsidRPr="009D0A2B">
        <w:rPr>
          <w:rFonts w:ascii="Arial" w:hAnsi="Arial" w:cs="Arial"/>
          <w:i/>
          <w:sz w:val="18"/>
          <w:szCs w:val="18"/>
        </w:rPr>
        <w:t xml:space="preserve">Stormwater Best Management Practices Manual.  </w:t>
      </w:r>
      <w:r w:rsidRPr="009D0A2B">
        <w:rPr>
          <w:rFonts w:ascii="Arial" w:hAnsi="Arial" w:cs="Arial"/>
          <w:sz w:val="18"/>
          <w:szCs w:val="18"/>
        </w:rPr>
        <w:t>685 pp.  Available at</w:t>
      </w:r>
      <w:r>
        <w:rPr>
          <w:rFonts w:ascii="Arial" w:hAnsi="Arial" w:cs="Arial"/>
          <w:i/>
          <w:sz w:val="18"/>
          <w:szCs w:val="18"/>
        </w:rPr>
        <w:t xml:space="preserve"> </w:t>
      </w:r>
      <w:r w:rsidRPr="009D0A2B">
        <w:rPr>
          <w:rFonts w:ascii="Arial" w:hAnsi="Arial" w:cs="Arial"/>
          <w:i/>
          <w:sz w:val="18"/>
          <w:szCs w:val="18"/>
        </w:rPr>
        <w:t>&lt;</w:t>
      </w:r>
      <w:hyperlink r:id="rId64" w:history="1">
        <w:r w:rsidRPr="009D0A2B">
          <w:rPr>
            <w:rStyle w:val="Hyperlink"/>
            <w:rFonts w:ascii="Arial" w:hAnsi="Arial" w:cs="Arial"/>
            <w:color w:val="auto"/>
            <w:sz w:val="18"/>
            <w:szCs w:val="18"/>
          </w:rPr>
          <w:t>http://www.elibrary.dep.state.pa.us/dsweb/View/Collection-8305</w:t>
        </w:r>
      </w:hyperlink>
      <w:r w:rsidRPr="009D0A2B">
        <w:rPr>
          <w:rFonts w:ascii="Arial" w:hAnsi="Arial" w:cs="Arial"/>
          <w:sz w:val="18"/>
          <w:szCs w:val="18"/>
        </w:rPr>
        <w:t>&gt;.</w:t>
      </w:r>
    </w:p>
  </w:endnote>
  <w:endnote w:id="58">
    <w:p w:rsidR="00E659D3" w:rsidRPr="009D0A2B" w:rsidRDefault="00E659D3" w:rsidP="009D0A2B">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Stormwater Manager’s Resource Center.  </w:t>
      </w:r>
      <w:r w:rsidRPr="009D0A2B">
        <w:rPr>
          <w:rFonts w:ascii="Arial" w:hAnsi="Arial" w:cs="Arial"/>
          <w:i/>
          <w:sz w:val="18"/>
          <w:szCs w:val="18"/>
        </w:rPr>
        <w:t xml:space="preserve">Stormwater management Fact Sheet: Grass Channel.  </w:t>
      </w:r>
      <w:r w:rsidRPr="009D0A2B">
        <w:rPr>
          <w:rFonts w:ascii="Arial" w:hAnsi="Arial" w:cs="Arial"/>
          <w:sz w:val="18"/>
          <w:szCs w:val="18"/>
        </w:rPr>
        <w:t>Available at</w:t>
      </w:r>
      <w:r>
        <w:rPr>
          <w:rFonts w:ascii="Arial" w:hAnsi="Arial" w:cs="Arial"/>
          <w:sz w:val="18"/>
          <w:szCs w:val="18"/>
        </w:rPr>
        <w:t>:</w:t>
      </w:r>
      <w:r>
        <w:rPr>
          <w:rFonts w:ascii="Arial" w:hAnsi="Arial" w:cs="Arial"/>
          <w:i/>
          <w:sz w:val="18"/>
          <w:szCs w:val="18"/>
        </w:rPr>
        <w:t xml:space="preserve"> </w:t>
      </w:r>
      <w:r w:rsidRPr="009D0A2B">
        <w:rPr>
          <w:rFonts w:ascii="Arial" w:hAnsi="Arial" w:cs="Arial"/>
          <w:i/>
          <w:sz w:val="18"/>
          <w:szCs w:val="18"/>
        </w:rPr>
        <w:t>&lt;</w:t>
      </w:r>
      <w:hyperlink r:id="rId65" w:history="1">
        <w:r w:rsidRPr="009D0A2B">
          <w:rPr>
            <w:rStyle w:val="Hyperlink"/>
            <w:rFonts w:ascii="Arial" w:hAnsi="Arial" w:cs="Arial"/>
            <w:color w:val="auto"/>
            <w:sz w:val="18"/>
            <w:szCs w:val="18"/>
          </w:rPr>
          <w:t>http://www.stormwatercenter.net/Assorted%20Fact%20Sheets/Tool6_Stormwater_Practices/Open%20Channel%20Practice/Grassed%20Channel.htm</w:t>
        </w:r>
      </w:hyperlink>
      <w:r w:rsidRPr="009D0A2B">
        <w:rPr>
          <w:rFonts w:ascii="Arial" w:eastAsia="Times New Roman" w:hAnsi="Arial" w:cs="Arial"/>
          <w:sz w:val="18"/>
          <w:szCs w:val="18"/>
          <w:u w:val="single"/>
        </w:rPr>
        <w:t>&gt;.</w:t>
      </w:r>
    </w:p>
  </w:endnote>
  <w:endnote w:id="59">
    <w:p w:rsidR="00E659D3" w:rsidRPr="009D0A2B" w:rsidRDefault="00E659D3" w:rsidP="009D0A2B">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New York State Department of Environmental Conservation. (2010).  </w:t>
      </w:r>
      <w:r w:rsidRPr="009D0A2B">
        <w:rPr>
          <w:rFonts w:ascii="Arial" w:hAnsi="Arial" w:cs="Arial"/>
          <w:i/>
          <w:sz w:val="18"/>
          <w:szCs w:val="18"/>
        </w:rPr>
        <w:t>New York State Stormwater Management Design Manual</w:t>
      </w:r>
      <w:r w:rsidRPr="009D0A2B">
        <w:rPr>
          <w:rFonts w:ascii="Arial" w:hAnsi="Arial" w:cs="Arial"/>
          <w:sz w:val="18"/>
          <w:szCs w:val="18"/>
        </w:rPr>
        <w:t>. 642 pp. Available at</w:t>
      </w:r>
      <w:r>
        <w:rPr>
          <w:rFonts w:ascii="Arial" w:hAnsi="Arial" w:cs="Arial"/>
          <w:sz w:val="18"/>
          <w:szCs w:val="18"/>
        </w:rPr>
        <w:t>:</w:t>
      </w:r>
      <w:r w:rsidRPr="009D0A2B">
        <w:rPr>
          <w:rFonts w:ascii="Arial" w:hAnsi="Arial" w:cs="Arial"/>
          <w:sz w:val="18"/>
          <w:szCs w:val="18"/>
        </w:rPr>
        <w:t xml:space="preserve"> &lt;</w:t>
      </w:r>
      <w:hyperlink r:id="rId66" w:history="1">
        <w:r w:rsidRPr="009D0A2B">
          <w:rPr>
            <w:rStyle w:val="Hyperlink"/>
            <w:rFonts w:ascii="Arial" w:hAnsi="Arial" w:cs="Arial"/>
            <w:color w:val="auto"/>
            <w:sz w:val="18"/>
            <w:szCs w:val="18"/>
          </w:rPr>
          <w:t>http://www.dec.ny.gov/chemical/29072.html</w:t>
        </w:r>
      </w:hyperlink>
      <w:r w:rsidRPr="009D0A2B">
        <w:rPr>
          <w:rFonts w:ascii="Arial" w:hAnsi="Arial" w:cs="Arial"/>
          <w:sz w:val="18"/>
          <w:szCs w:val="18"/>
        </w:rPr>
        <w:t>&gt;.</w:t>
      </w:r>
    </w:p>
    <w:p w:rsidR="00E659D3" w:rsidRDefault="00E659D3">
      <w:pPr>
        <w:pStyle w:val="EndnoteText"/>
      </w:pPr>
    </w:p>
    <w:p w:rsidR="00E659D3" w:rsidRDefault="00E659D3">
      <w:pPr>
        <w:pStyle w:val="EndnoteText"/>
      </w:pPr>
    </w:p>
    <w:p w:rsidR="00E659D3" w:rsidRPr="009D0A2B" w:rsidRDefault="00E659D3">
      <w:pPr>
        <w:pStyle w:val="EndnoteText"/>
        <w:rPr>
          <w:rFonts w:ascii="Arial" w:hAnsi="Arial" w:cs="Arial"/>
          <w:b/>
          <w:sz w:val="18"/>
          <w:szCs w:val="18"/>
        </w:rPr>
      </w:pPr>
      <w:r w:rsidRPr="009D0A2B">
        <w:rPr>
          <w:rFonts w:ascii="Arial" w:hAnsi="Arial" w:cs="Arial"/>
          <w:b/>
          <w:sz w:val="18"/>
          <w:szCs w:val="18"/>
        </w:rPr>
        <w:t>Additional Information on Vegetated Swales:</w:t>
      </w:r>
    </w:p>
    <w:p w:rsidR="00E659D3" w:rsidRPr="009D0A2B" w:rsidRDefault="00E659D3">
      <w:pPr>
        <w:pStyle w:val="EndnoteText"/>
        <w:rPr>
          <w:rFonts w:ascii="Arial" w:hAnsi="Arial" w:cs="Arial"/>
          <w:b/>
          <w:sz w:val="18"/>
          <w:szCs w:val="18"/>
        </w:rPr>
      </w:pPr>
    </w:p>
    <w:p w:rsidR="00E659D3" w:rsidRPr="009D0A2B" w:rsidRDefault="00E659D3" w:rsidP="009D0A2B">
      <w:pPr>
        <w:pStyle w:val="bullet"/>
        <w:numPr>
          <w:ilvl w:val="0"/>
          <w:numId w:val="44"/>
        </w:numPr>
        <w:rPr>
          <w:b/>
          <w:i/>
          <w:sz w:val="18"/>
          <w:szCs w:val="18"/>
        </w:rPr>
      </w:pPr>
      <w:r w:rsidRPr="009D0A2B">
        <w:rPr>
          <w:i/>
          <w:sz w:val="18"/>
          <w:szCs w:val="18"/>
        </w:rPr>
        <w:t xml:space="preserve">Los Angeles County BMP Design Criteria </w:t>
      </w:r>
      <w:r w:rsidRPr="009D0A2B">
        <w:rPr>
          <w:sz w:val="18"/>
          <w:szCs w:val="18"/>
        </w:rPr>
        <w:t>(</w:t>
      </w:r>
      <w:hyperlink r:id="rId67" w:history="1">
        <w:r w:rsidRPr="009D0A2B">
          <w:rPr>
            <w:rStyle w:val="Hyperlink"/>
            <w:color w:val="auto"/>
            <w:sz w:val="18"/>
            <w:szCs w:val="18"/>
          </w:rPr>
          <w:t>http://www.ci.chula-vista.ca.us/City_Services/ Development_Services/Engineering/ PDF%20Files/ StormWaterManual/B-13.pdf</w:t>
        </w:r>
      </w:hyperlink>
      <w:r w:rsidRPr="009D0A2B">
        <w:rPr>
          <w:sz w:val="18"/>
          <w:szCs w:val="18"/>
        </w:rPr>
        <w:t>) – Contains design protocols and considerations for vegetated swales</w:t>
      </w:r>
    </w:p>
    <w:p w:rsidR="00E659D3" w:rsidRPr="009D0A2B" w:rsidRDefault="00E659D3" w:rsidP="009D0A2B">
      <w:pPr>
        <w:pStyle w:val="bullet"/>
        <w:numPr>
          <w:ilvl w:val="0"/>
          <w:numId w:val="44"/>
        </w:numPr>
        <w:rPr>
          <w:rStyle w:val="Bold"/>
          <w:sz w:val="18"/>
          <w:szCs w:val="18"/>
        </w:rPr>
      </w:pPr>
      <w:r w:rsidRPr="009D0A2B">
        <w:rPr>
          <w:i/>
          <w:sz w:val="18"/>
          <w:szCs w:val="18"/>
        </w:rPr>
        <w:t xml:space="preserve">Virginia Department of Conservation and Recreation, Stormwater Design Specifications </w:t>
      </w:r>
      <w:hyperlink r:id="rId68" w:history="1">
        <w:r w:rsidRPr="009D0A2B">
          <w:rPr>
            <w:rStyle w:val="Hyperlink"/>
            <w:color w:val="auto"/>
            <w:sz w:val="18"/>
            <w:szCs w:val="18"/>
          </w:rPr>
          <w:t>http://www.chesapeakestormwater.net/storage/first-draft-baywide-design-specificationsi/BAYWIDE%20No%203%20GRASS%20CHANNEL%20SPECIFICATION.pdf</w:t>
        </w:r>
      </w:hyperlink>
      <w:r w:rsidRPr="009D0A2B">
        <w:rPr>
          <w:sz w:val="18"/>
          <w:szCs w:val="18"/>
        </w:rPr>
        <w:t>) – Contains design specifications for grass channels</w:t>
      </w:r>
    </w:p>
    <w:p w:rsidR="00E659D3" w:rsidRPr="009D0A2B" w:rsidRDefault="00E659D3" w:rsidP="009D0A2B">
      <w:pPr>
        <w:pStyle w:val="bullet"/>
        <w:numPr>
          <w:ilvl w:val="0"/>
          <w:numId w:val="44"/>
        </w:numPr>
        <w:rPr>
          <w:rStyle w:val="Bold"/>
          <w:sz w:val="18"/>
          <w:szCs w:val="18"/>
        </w:rPr>
      </w:pPr>
      <w:r w:rsidRPr="009D0A2B">
        <w:rPr>
          <w:i/>
          <w:sz w:val="18"/>
          <w:szCs w:val="18"/>
        </w:rPr>
        <w:t xml:space="preserve">University of Florida, Field Guide to Low Impact Development </w:t>
      </w:r>
      <w:r w:rsidRPr="009D0A2B">
        <w:rPr>
          <w:sz w:val="18"/>
          <w:szCs w:val="18"/>
        </w:rPr>
        <w:t>(</w:t>
      </w:r>
      <w:hyperlink r:id="rId69" w:history="1">
        <w:r w:rsidRPr="009D0A2B">
          <w:rPr>
            <w:rStyle w:val="Hyperlink"/>
            <w:color w:val="auto"/>
            <w:sz w:val="18"/>
            <w:szCs w:val="18"/>
          </w:rPr>
          <w:t>http://buildgreen.ufl.edu/Fact_sheet_Bioswales_Vegetated_Swales.pdf</w:t>
        </w:r>
      </w:hyperlink>
      <w:r w:rsidRPr="009D0A2B">
        <w:rPr>
          <w:sz w:val="18"/>
          <w:szCs w:val="18"/>
        </w:rPr>
        <w:t>) – Contains overview and design considerations for vegetated channels</w:t>
      </w:r>
    </w:p>
    <w:p w:rsidR="00E659D3" w:rsidRPr="009D0A2B" w:rsidRDefault="00E659D3" w:rsidP="009D0A2B">
      <w:pPr>
        <w:pStyle w:val="bullet"/>
        <w:numPr>
          <w:ilvl w:val="0"/>
          <w:numId w:val="44"/>
        </w:numPr>
        <w:rPr>
          <w:sz w:val="18"/>
          <w:szCs w:val="18"/>
        </w:rPr>
      </w:pPr>
      <w:r w:rsidRPr="009D0A2B">
        <w:rPr>
          <w:i/>
          <w:sz w:val="18"/>
          <w:szCs w:val="18"/>
        </w:rPr>
        <w:t>Indianapolis SustainIndy, Swale Fact Sheet</w:t>
      </w:r>
      <w:r w:rsidRPr="009D0A2B">
        <w:rPr>
          <w:sz w:val="18"/>
          <w:szCs w:val="18"/>
        </w:rPr>
        <w:t xml:space="preserve"> (</w:t>
      </w:r>
      <w:hyperlink r:id="rId70" w:history="1">
        <w:r w:rsidRPr="009D0A2B">
          <w:rPr>
            <w:rStyle w:val="Hyperlink"/>
            <w:color w:val="auto"/>
            <w:sz w:val="18"/>
            <w:szCs w:val="18"/>
          </w:rPr>
          <w:t>http://www.sustainindy.org/assets/uploads/4.7%20Swales.pdf</w:t>
        </w:r>
      </w:hyperlink>
      <w:r w:rsidRPr="009D0A2B">
        <w:rPr>
          <w:sz w:val="18"/>
          <w:szCs w:val="18"/>
        </w:rPr>
        <w:t>) – Contains example of municipal design considerations for vegetated channels</w:t>
      </w:r>
    </w:p>
    <w:p w:rsidR="00E659D3" w:rsidRPr="001776E5" w:rsidRDefault="00E659D3" w:rsidP="005F74AA"/>
  </w:endnote>
  <w:endnote w:id="60">
    <w:p w:rsidR="00E659D3" w:rsidRPr="009D0A2B" w:rsidRDefault="00E659D3" w:rsidP="009D0A2B">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New York State Department of Environmental Conservation. (2010).  </w:t>
      </w:r>
      <w:r w:rsidRPr="009D0A2B">
        <w:rPr>
          <w:rFonts w:ascii="Arial" w:hAnsi="Arial" w:cs="Arial"/>
          <w:i/>
          <w:sz w:val="18"/>
          <w:szCs w:val="18"/>
        </w:rPr>
        <w:t>New York State Stormwater Management Design Manual</w:t>
      </w:r>
      <w:r w:rsidRPr="009D0A2B">
        <w:rPr>
          <w:rFonts w:ascii="Arial" w:hAnsi="Arial" w:cs="Arial"/>
          <w:sz w:val="18"/>
          <w:szCs w:val="18"/>
        </w:rPr>
        <w:t>.  642 pp. Available at</w:t>
      </w:r>
      <w:r>
        <w:rPr>
          <w:rFonts w:ascii="Arial" w:hAnsi="Arial" w:cs="Arial"/>
          <w:sz w:val="18"/>
          <w:szCs w:val="18"/>
        </w:rPr>
        <w:t>:</w:t>
      </w:r>
      <w:r w:rsidRPr="009D0A2B">
        <w:rPr>
          <w:rFonts w:ascii="Arial" w:hAnsi="Arial" w:cs="Arial"/>
          <w:sz w:val="18"/>
          <w:szCs w:val="18"/>
        </w:rPr>
        <w:t xml:space="preserve"> &lt;</w:t>
      </w:r>
      <w:hyperlink r:id="rId71" w:history="1">
        <w:r w:rsidRPr="009D0A2B">
          <w:rPr>
            <w:rStyle w:val="Hyperlink"/>
            <w:rFonts w:ascii="Arial" w:hAnsi="Arial" w:cs="Arial"/>
            <w:color w:val="auto"/>
            <w:sz w:val="18"/>
            <w:szCs w:val="18"/>
          </w:rPr>
          <w:t>http://www.dec.ny.gov/chemical/29072.html</w:t>
        </w:r>
      </w:hyperlink>
      <w:r w:rsidRPr="009D0A2B">
        <w:rPr>
          <w:rFonts w:ascii="Arial" w:hAnsi="Arial" w:cs="Arial"/>
          <w:sz w:val="18"/>
          <w:szCs w:val="18"/>
        </w:rPr>
        <w:t>&gt;.</w:t>
      </w:r>
    </w:p>
  </w:endnote>
  <w:endnote w:id="61">
    <w:p w:rsidR="00E659D3" w:rsidRPr="009D0A2B" w:rsidRDefault="00E659D3" w:rsidP="009D0A2B">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New York State Department of Environmental Conservation. (2010).  </w:t>
      </w:r>
      <w:r w:rsidRPr="009D0A2B">
        <w:rPr>
          <w:rFonts w:ascii="Arial" w:hAnsi="Arial" w:cs="Arial"/>
          <w:i/>
          <w:sz w:val="18"/>
          <w:szCs w:val="18"/>
        </w:rPr>
        <w:t>New York Stat</w:t>
      </w:r>
      <w:r>
        <w:rPr>
          <w:rFonts w:ascii="Arial" w:hAnsi="Arial" w:cs="Arial"/>
          <w:i/>
          <w:sz w:val="18"/>
          <w:szCs w:val="18"/>
        </w:rPr>
        <w:t xml:space="preserve">e Stormwater Management Design </w:t>
      </w:r>
      <w:r w:rsidRPr="009D0A2B">
        <w:rPr>
          <w:rFonts w:ascii="Arial" w:hAnsi="Arial" w:cs="Arial"/>
          <w:i/>
          <w:sz w:val="18"/>
          <w:szCs w:val="18"/>
        </w:rPr>
        <w:t>Manual</w:t>
      </w:r>
      <w:r w:rsidRPr="009D0A2B">
        <w:rPr>
          <w:rFonts w:ascii="Arial" w:hAnsi="Arial" w:cs="Arial"/>
          <w:sz w:val="18"/>
          <w:szCs w:val="18"/>
        </w:rPr>
        <w:t>.  642 pp. Available at</w:t>
      </w:r>
      <w:r>
        <w:rPr>
          <w:rFonts w:ascii="Arial" w:hAnsi="Arial" w:cs="Arial"/>
          <w:sz w:val="18"/>
          <w:szCs w:val="18"/>
        </w:rPr>
        <w:t>:</w:t>
      </w:r>
      <w:r w:rsidRPr="009D0A2B">
        <w:rPr>
          <w:rFonts w:ascii="Arial" w:hAnsi="Arial" w:cs="Arial"/>
          <w:sz w:val="18"/>
          <w:szCs w:val="18"/>
        </w:rPr>
        <w:t xml:space="preserve"> &lt;</w:t>
      </w:r>
      <w:hyperlink r:id="rId72" w:history="1">
        <w:r w:rsidRPr="009D0A2B">
          <w:rPr>
            <w:rStyle w:val="Hyperlink"/>
            <w:rFonts w:ascii="Arial" w:hAnsi="Arial" w:cs="Arial"/>
            <w:color w:val="auto"/>
            <w:sz w:val="18"/>
            <w:szCs w:val="18"/>
          </w:rPr>
          <w:t>http://www.dec.ny.gov/chemical/29072.html</w:t>
        </w:r>
      </w:hyperlink>
      <w:r w:rsidRPr="009D0A2B">
        <w:rPr>
          <w:rFonts w:ascii="Arial" w:hAnsi="Arial" w:cs="Arial"/>
          <w:sz w:val="18"/>
          <w:szCs w:val="18"/>
        </w:rPr>
        <w:t>&gt;.</w:t>
      </w:r>
    </w:p>
  </w:endnote>
  <w:endnote w:id="62">
    <w:p w:rsidR="00E659D3" w:rsidRPr="009D0A2B" w:rsidRDefault="00E659D3" w:rsidP="009D0A2B">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USEPA.  (2009).  </w:t>
      </w:r>
      <w:r w:rsidRPr="009D0A2B">
        <w:rPr>
          <w:rFonts w:ascii="Arial" w:hAnsi="Arial" w:cs="Arial"/>
          <w:i/>
          <w:sz w:val="18"/>
          <w:szCs w:val="18"/>
        </w:rPr>
        <w:t>National Pollutant Discharge Elimination System (NPDES) Menu of B</w:t>
      </w:r>
      <w:r>
        <w:rPr>
          <w:rFonts w:ascii="Arial" w:hAnsi="Arial" w:cs="Arial"/>
          <w:i/>
          <w:sz w:val="18"/>
          <w:szCs w:val="18"/>
        </w:rPr>
        <w:t xml:space="preserve">MPs: Porous Asphalt Pavement.  </w:t>
      </w:r>
      <w:r w:rsidRPr="009D0A2B">
        <w:rPr>
          <w:rFonts w:ascii="Arial" w:hAnsi="Arial" w:cs="Arial"/>
          <w:sz w:val="18"/>
          <w:szCs w:val="18"/>
        </w:rPr>
        <w:t>Available at</w:t>
      </w:r>
      <w:r>
        <w:rPr>
          <w:rFonts w:ascii="Arial" w:hAnsi="Arial" w:cs="Arial"/>
          <w:sz w:val="18"/>
          <w:szCs w:val="18"/>
        </w:rPr>
        <w:t>:</w:t>
      </w:r>
      <w:r w:rsidRPr="009D0A2B">
        <w:rPr>
          <w:rFonts w:ascii="Arial" w:hAnsi="Arial" w:cs="Arial"/>
          <w:sz w:val="18"/>
          <w:szCs w:val="18"/>
        </w:rPr>
        <w:t xml:space="preserve"> &lt;</w:t>
      </w:r>
      <w:hyperlink r:id="rId73" w:history="1">
        <w:r w:rsidRPr="009D0A2B">
          <w:rPr>
            <w:rStyle w:val="Hyperlink"/>
            <w:rFonts w:ascii="Arial" w:hAnsi="Arial" w:cs="Arial"/>
            <w:color w:val="auto"/>
            <w:sz w:val="18"/>
            <w:szCs w:val="18"/>
          </w:rPr>
          <w:t>http://cfpub.epa.gov/npdes/stormwater/menuofbmps/index.cfm?action=factsheet_results&amp;view=specific&amp;bmp=135&amp;minmeasure=5</w:t>
        </w:r>
      </w:hyperlink>
      <w:r w:rsidRPr="009D0A2B">
        <w:rPr>
          <w:rFonts w:ascii="Arial" w:hAnsi="Arial" w:cs="Arial"/>
          <w:sz w:val="18"/>
          <w:szCs w:val="18"/>
        </w:rPr>
        <w:t>&gt;.</w:t>
      </w:r>
    </w:p>
  </w:endnote>
  <w:endnote w:id="63">
    <w:p w:rsidR="00E659D3" w:rsidRPr="009D0A2B" w:rsidRDefault="00E659D3" w:rsidP="009D0A2B">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USEPA.  (2009).  </w:t>
      </w:r>
      <w:r w:rsidRPr="009D0A2B">
        <w:rPr>
          <w:rFonts w:ascii="Arial" w:hAnsi="Arial" w:cs="Arial"/>
          <w:i/>
          <w:sz w:val="18"/>
          <w:szCs w:val="18"/>
        </w:rPr>
        <w:t>National Pollutant Discharge Elimination System (NPDES) Menu of B</w:t>
      </w:r>
      <w:r>
        <w:rPr>
          <w:rFonts w:ascii="Arial" w:hAnsi="Arial" w:cs="Arial"/>
          <w:i/>
          <w:sz w:val="18"/>
          <w:szCs w:val="18"/>
        </w:rPr>
        <w:t xml:space="preserve">MPs: Porous Asphalt Pavement.  </w:t>
      </w:r>
      <w:r w:rsidRPr="009D0A2B">
        <w:rPr>
          <w:rFonts w:ascii="Arial" w:hAnsi="Arial" w:cs="Arial"/>
          <w:sz w:val="18"/>
          <w:szCs w:val="18"/>
        </w:rPr>
        <w:t>Available at</w:t>
      </w:r>
      <w:r>
        <w:rPr>
          <w:rFonts w:ascii="Arial" w:hAnsi="Arial" w:cs="Arial"/>
          <w:sz w:val="18"/>
          <w:szCs w:val="18"/>
        </w:rPr>
        <w:t>:</w:t>
      </w:r>
      <w:r w:rsidRPr="009D0A2B">
        <w:rPr>
          <w:rFonts w:ascii="Arial" w:hAnsi="Arial" w:cs="Arial"/>
          <w:sz w:val="18"/>
          <w:szCs w:val="18"/>
        </w:rPr>
        <w:t xml:space="preserve"> &lt;</w:t>
      </w:r>
      <w:hyperlink r:id="rId74" w:history="1">
        <w:r w:rsidRPr="009D0A2B">
          <w:rPr>
            <w:rStyle w:val="Hyperlink"/>
            <w:rFonts w:ascii="Arial" w:hAnsi="Arial" w:cs="Arial"/>
            <w:color w:val="auto"/>
            <w:sz w:val="18"/>
            <w:szCs w:val="18"/>
          </w:rPr>
          <w:t>http://cfpub.epa.gov/npdes/stormwater/menuofbmps/index.cfm?action=factsheet_results&amp;view=specific&amp;bmp=135&amp;minmeasure=5</w:t>
        </w:r>
      </w:hyperlink>
      <w:r w:rsidRPr="009D0A2B">
        <w:rPr>
          <w:rFonts w:ascii="Arial" w:hAnsi="Arial" w:cs="Arial"/>
          <w:sz w:val="18"/>
          <w:szCs w:val="18"/>
        </w:rPr>
        <w:t>&gt;.</w:t>
      </w:r>
    </w:p>
  </w:endnote>
  <w:endnote w:id="64">
    <w:p w:rsidR="00E659D3" w:rsidRPr="009D0A2B" w:rsidRDefault="00E659D3" w:rsidP="009D0A2B">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Pennsylvania Department of Environmental Protection, Bureau of Watershed Management.  (2006).  </w:t>
      </w:r>
      <w:r>
        <w:rPr>
          <w:rFonts w:ascii="Arial" w:hAnsi="Arial" w:cs="Arial"/>
          <w:i/>
          <w:sz w:val="18"/>
          <w:szCs w:val="18"/>
        </w:rPr>
        <w:t xml:space="preserve">Pennsylvania </w:t>
      </w:r>
      <w:r w:rsidRPr="009D0A2B">
        <w:rPr>
          <w:rFonts w:ascii="Arial" w:hAnsi="Arial" w:cs="Arial"/>
          <w:i/>
          <w:sz w:val="18"/>
          <w:szCs w:val="18"/>
        </w:rPr>
        <w:t xml:space="preserve">Stormwater Best Management Practices Manual.  </w:t>
      </w:r>
      <w:r w:rsidRPr="009D0A2B">
        <w:rPr>
          <w:rFonts w:ascii="Arial" w:hAnsi="Arial" w:cs="Arial"/>
          <w:sz w:val="18"/>
          <w:szCs w:val="18"/>
        </w:rPr>
        <w:t>685 pp.  Available at</w:t>
      </w:r>
      <w:r>
        <w:rPr>
          <w:rFonts w:ascii="Arial" w:hAnsi="Arial" w:cs="Arial"/>
          <w:sz w:val="18"/>
          <w:szCs w:val="18"/>
        </w:rPr>
        <w:t>:</w:t>
      </w:r>
      <w:r>
        <w:rPr>
          <w:rFonts w:ascii="Arial" w:hAnsi="Arial" w:cs="Arial"/>
          <w:i/>
          <w:sz w:val="18"/>
          <w:szCs w:val="18"/>
        </w:rPr>
        <w:t xml:space="preserve"> </w:t>
      </w:r>
      <w:r w:rsidRPr="009D0A2B">
        <w:rPr>
          <w:rFonts w:ascii="Arial" w:hAnsi="Arial" w:cs="Arial"/>
          <w:i/>
          <w:sz w:val="18"/>
          <w:szCs w:val="18"/>
        </w:rPr>
        <w:t>&lt;</w:t>
      </w:r>
      <w:hyperlink r:id="rId75" w:history="1">
        <w:r w:rsidRPr="009D0A2B">
          <w:rPr>
            <w:rStyle w:val="Hyperlink"/>
            <w:rFonts w:ascii="Arial" w:hAnsi="Arial" w:cs="Arial"/>
            <w:color w:val="auto"/>
            <w:sz w:val="18"/>
            <w:szCs w:val="18"/>
          </w:rPr>
          <w:t>http://www.elibrary.dep.state.pa.us/dsweb/View/Collection-8305</w:t>
        </w:r>
      </w:hyperlink>
      <w:r w:rsidRPr="009D0A2B">
        <w:rPr>
          <w:rFonts w:ascii="Arial" w:hAnsi="Arial" w:cs="Arial"/>
          <w:sz w:val="18"/>
          <w:szCs w:val="18"/>
        </w:rPr>
        <w:t>&gt;.</w:t>
      </w:r>
    </w:p>
  </w:endnote>
  <w:endnote w:id="65">
    <w:p w:rsidR="00E659D3" w:rsidRPr="009D0A2B" w:rsidRDefault="00E659D3" w:rsidP="009D0A2B">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New York State Department of Environmental Conservation. (2010).  </w:t>
      </w:r>
      <w:r w:rsidRPr="009D0A2B">
        <w:rPr>
          <w:rFonts w:ascii="Arial" w:hAnsi="Arial" w:cs="Arial"/>
          <w:i/>
          <w:sz w:val="18"/>
          <w:szCs w:val="18"/>
        </w:rPr>
        <w:t>New York Stat</w:t>
      </w:r>
      <w:r>
        <w:rPr>
          <w:rFonts w:ascii="Arial" w:hAnsi="Arial" w:cs="Arial"/>
          <w:i/>
          <w:sz w:val="18"/>
          <w:szCs w:val="18"/>
        </w:rPr>
        <w:t xml:space="preserve">e Stormwater Management Design </w:t>
      </w:r>
      <w:r w:rsidRPr="009D0A2B">
        <w:rPr>
          <w:rFonts w:ascii="Arial" w:hAnsi="Arial" w:cs="Arial"/>
          <w:i/>
          <w:sz w:val="18"/>
          <w:szCs w:val="18"/>
        </w:rPr>
        <w:t>Manual</w:t>
      </w:r>
      <w:r w:rsidRPr="009D0A2B">
        <w:rPr>
          <w:rFonts w:ascii="Arial" w:hAnsi="Arial" w:cs="Arial"/>
          <w:sz w:val="18"/>
          <w:szCs w:val="18"/>
        </w:rPr>
        <w:t>.  642 pp. Available at</w:t>
      </w:r>
      <w:r>
        <w:rPr>
          <w:rFonts w:ascii="Arial" w:hAnsi="Arial" w:cs="Arial"/>
          <w:sz w:val="18"/>
          <w:szCs w:val="18"/>
        </w:rPr>
        <w:t>:</w:t>
      </w:r>
      <w:r w:rsidRPr="009D0A2B">
        <w:rPr>
          <w:rFonts w:ascii="Arial" w:hAnsi="Arial" w:cs="Arial"/>
          <w:sz w:val="18"/>
          <w:szCs w:val="18"/>
        </w:rPr>
        <w:t xml:space="preserve"> &lt;</w:t>
      </w:r>
      <w:hyperlink r:id="rId76" w:history="1">
        <w:r w:rsidRPr="009D0A2B">
          <w:rPr>
            <w:rStyle w:val="Hyperlink"/>
            <w:rFonts w:ascii="Arial" w:hAnsi="Arial" w:cs="Arial"/>
            <w:color w:val="auto"/>
            <w:sz w:val="18"/>
            <w:szCs w:val="18"/>
          </w:rPr>
          <w:t>http://www.dec.ny.gov/chemical/29072.html</w:t>
        </w:r>
      </w:hyperlink>
      <w:r w:rsidRPr="009D0A2B">
        <w:rPr>
          <w:rFonts w:ascii="Arial" w:hAnsi="Arial" w:cs="Arial"/>
          <w:sz w:val="18"/>
          <w:szCs w:val="18"/>
        </w:rPr>
        <w:t>&gt;.</w:t>
      </w:r>
    </w:p>
  </w:endnote>
  <w:endnote w:id="66">
    <w:p w:rsidR="00E659D3" w:rsidRPr="009D0A2B" w:rsidRDefault="00E659D3" w:rsidP="0004522E">
      <w:pPr>
        <w:autoSpaceDE w:val="0"/>
        <w:autoSpaceDN w:val="0"/>
        <w:adjustRightInd w:val="0"/>
        <w:ind w:left="360" w:hanging="360"/>
        <w:rPr>
          <w:rFonts w:cs="Arial"/>
          <w:sz w:val="18"/>
          <w:szCs w:val="18"/>
        </w:rPr>
      </w:pPr>
      <w:r w:rsidRPr="009D0A2B">
        <w:rPr>
          <w:rStyle w:val="EndnoteReference"/>
          <w:rFonts w:cs="Arial"/>
          <w:sz w:val="18"/>
          <w:szCs w:val="18"/>
        </w:rPr>
        <w:endnoteRef/>
      </w:r>
      <w:r w:rsidRPr="009D0A2B">
        <w:rPr>
          <w:rFonts w:cs="Arial"/>
          <w:sz w:val="18"/>
          <w:szCs w:val="18"/>
        </w:rPr>
        <w:t xml:space="preserve"> Ferguson, B.K..  (2005). </w:t>
      </w:r>
      <w:r w:rsidRPr="009D0A2B">
        <w:rPr>
          <w:rFonts w:cs="Arial"/>
          <w:i/>
          <w:sz w:val="18"/>
          <w:szCs w:val="18"/>
        </w:rPr>
        <w:t>Porous Pavements</w:t>
      </w:r>
      <w:r w:rsidRPr="009D0A2B">
        <w:rPr>
          <w:rFonts w:cs="Arial"/>
          <w:sz w:val="18"/>
          <w:szCs w:val="18"/>
        </w:rPr>
        <w:t>. Taylor &amp; Francis, Boca Raton, FL, 577 pp. As ci</w:t>
      </w:r>
      <w:r>
        <w:rPr>
          <w:rFonts w:cs="Arial"/>
          <w:sz w:val="18"/>
          <w:szCs w:val="18"/>
        </w:rPr>
        <w:t xml:space="preserve">ted in Montalto, F., Behr, C., </w:t>
      </w:r>
      <w:r w:rsidRPr="009D0A2B">
        <w:rPr>
          <w:rFonts w:cs="Arial"/>
          <w:sz w:val="18"/>
          <w:szCs w:val="18"/>
        </w:rPr>
        <w:t xml:space="preserve">Alfredo, K., Wolf, M., Arye, M., and Walsh, M. (2007).  </w:t>
      </w:r>
      <w:r w:rsidRPr="009D0A2B">
        <w:rPr>
          <w:rFonts w:cs="Arial"/>
          <w:i/>
          <w:sz w:val="18"/>
          <w:szCs w:val="18"/>
        </w:rPr>
        <w:t xml:space="preserve">Rapid assessment of the cost-effectiveness of low impact development for CSO control.  </w:t>
      </w:r>
      <w:r w:rsidRPr="009D0A2B">
        <w:rPr>
          <w:rFonts w:cs="Arial"/>
          <w:sz w:val="18"/>
          <w:szCs w:val="18"/>
        </w:rPr>
        <w:t xml:space="preserve">Landscape and Urban Planning. 82:117-131.  </w:t>
      </w:r>
    </w:p>
  </w:endnote>
  <w:endnote w:id="67">
    <w:p w:rsidR="00E659D3" w:rsidRPr="0004522E" w:rsidRDefault="00E659D3" w:rsidP="0004522E">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New York State Department of Environmental Conservation. (2010).  </w:t>
      </w:r>
      <w:r w:rsidRPr="009D0A2B">
        <w:rPr>
          <w:rFonts w:ascii="Arial" w:hAnsi="Arial" w:cs="Arial"/>
          <w:i/>
          <w:sz w:val="18"/>
          <w:szCs w:val="18"/>
        </w:rPr>
        <w:t>New York Stat</w:t>
      </w:r>
      <w:r>
        <w:rPr>
          <w:rFonts w:ascii="Arial" w:hAnsi="Arial" w:cs="Arial"/>
          <w:i/>
          <w:sz w:val="18"/>
          <w:szCs w:val="18"/>
        </w:rPr>
        <w:t xml:space="preserve">e Stormwater Management Design </w:t>
      </w:r>
      <w:r w:rsidRPr="009D0A2B">
        <w:rPr>
          <w:rFonts w:ascii="Arial" w:hAnsi="Arial" w:cs="Arial"/>
          <w:i/>
          <w:sz w:val="18"/>
          <w:szCs w:val="18"/>
        </w:rPr>
        <w:t>Manual</w:t>
      </w:r>
      <w:r w:rsidRPr="009D0A2B">
        <w:rPr>
          <w:rFonts w:ascii="Arial" w:hAnsi="Arial" w:cs="Arial"/>
          <w:sz w:val="18"/>
          <w:szCs w:val="18"/>
        </w:rPr>
        <w:t>.  642 pp. Available at</w:t>
      </w:r>
      <w:r>
        <w:rPr>
          <w:rFonts w:ascii="Arial" w:hAnsi="Arial" w:cs="Arial"/>
          <w:sz w:val="18"/>
          <w:szCs w:val="18"/>
        </w:rPr>
        <w:t>:</w:t>
      </w:r>
      <w:r w:rsidRPr="009D0A2B">
        <w:rPr>
          <w:rFonts w:ascii="Arial" w:hAnsi="Arial" w:cs="Arial"/>
          <w:sz w:val="18"/>
          <w:szCs w:val="18"/>
        </w:rPr>
        <w:t xml:space="preserve"> &lt;</w:t>
      </w:r>
      <w:hyperlink r:id="rId77" w:history="1">
        <w:r w:rsidRPr="009D0A2B">
          <w:rPr>
            <w:rStyle w:val="Hyperlink"/>
            <w:rFonts w:ascii="Arial" w:hAnsi="Arial" w:cs="Arial"/>
            <w:color w:val="auto"/>
            <w:sz w:val="18"/>
            <w:szCs w:val="18"/>
          </w:rPr>
          <w:t>http://www.dec.ny.gov/chemical/29072.html</w:t>
        </w:r>
      </w:hyperlink>
      <w:r w:rsidRPr="009D0A2B">
        <w:rPr>
          <w:rFonts w:ascii="Arial" w:hAnsi="Arial" w:cs="Arial"/>
          <w:sz w:val="18"/>
          <w:szCs w:val="18"/>
        </w:rPr>
        <w:t>&gt;.</w:t>
      </w:r>
    </w:p>
  </w:endnote>
  <w:endnote w:id="68">
    <w:p w:rsidR="00E659D3" w:rsidRPr="0004522E" w:rsidRDefault="00E659D3" w:rsidP="0004522E">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The Center for Neighborhood Technology, prepared by The Civic Federation.  (2007).  </w:t>
      </w:r>
      <w:r>
        <w:rPr>
          <w:rFonts w:ascii="Arial" w:hAnsi="Arial" w:cs="Arial"/>
          <w:i/>
          <w:sz w:val="18"/>
          <w:szCs w:val="18"/>
        </w:rPr>
        <w:t xml:space="preserve">Managing Urban Stormwater with </w:t>
      </w:r>
      <w:r w:rsidRPr="009D0A2B">
        <w:rPr>
          <w:rFonts w:ascii="Arial" w:hAnsi="Arial" w:cs="Arial"/>
          <w:i/>
          <w:sz w:val="18"/>
          <w:szCs w:val="18"/>
        </w:rPr>
        <w:t>Green Infrastructure: Case Studies of Five U.S. Local Governments</w:t>
      </w:r>
      <w:r w:rsidRPr="009D0A2B">
        <w:rPr>
          <w:rFonts w:ascii="Arial" w:hAnsi="Arial" w:cs="Arial"/>
          <w:sz w:val="18"/>
          <w:szCs w:val="18"/>
        </w:rPr>
        <w:t>.  56 pp.  Available at</w:t>
      </w:r>
      <w:r>
        <w:rPr>
          <w:rFonts w:ascii="Arial" w:hAnsi="Arial" w:cs="Arial"/>
          <w:sz w:val="18"/>
          <w:szCs w:val="18"/>
        </w:rPr>
        <w:t>:</w:t>
      </w:r>
      <w:r w:rsidRPr="009D0A2B">
        <w:rPr>
          <w:rFonts w:ascii="Arial" w:hAnsi="Arial" w:cs="Arial"/>
          <w:sz w:val="18"/>
          <w:szCs w:val="18"/>
        </w:rPr>
        <w:t xml:space="preserve"> &lt;</w:t>
      </w:r>
      <w:hyperlink r:id="rId78" w:history="1">
        <w:r w:rsidRPr="009D0A2B">
          <w:rPr>
            <w:rStyle w:val="Hyperlink"/>
            <w:rFonts w:ascii="Arial" w:hAnsi="Arial" w:cs="Arial"/>
            <w:color w:val="auto"/>
            <w:sz w:val="18"/>
            <w:szCs w:val="18"/>
          </w:rPr>
          <w:t>http://www.cnt.org/repository/GreenInfrastructureReportCivicFederation%2010-07.pdf</w:t>
        </w:r>
      </w:hyperlink>
      <w:r w:rsidRPr="009D0A2B">
        <w:rPr>
          <w:rFonts w:ascii="Arial" w:hAnsi="Arial" w:cs="Arial"/>
          <w:sz w:val="18"/>
          <w:szCs w:val="18"/>
        </w:rPr>
        <w:t>&gt;.</w:t>
      </w:r>
    </w:p>
  </w:endnote>
  <w:endnote w:id="69">
    <w:p w:rsidR="00E659D3" w:rsidRPr="0004522E" w:rsidRDefault="00E659D3" w:rsidP="0004522E">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Montalto, F., Behr, C., Alfredo, K., Wolf, M., Arye, M., and Walsh, M. (2007).  </w:t>
      </w:r>
      <w:r w:rsidRPr="009D0A2B">
        <w:rPr>
          <w:rFonts w:ascii="Arial" w:hAnsi="Arial" w:cs="Arial"/>
          <w:i/>
          <w:sz w:val="18"/>
          <w:szCs w:val="18"/>
        </w:rPr>
        <w:t>Rapid assessmen</w:t>
      </w:r>
      <w:r>
        <w:rPr>
          <w:rFonts w:ascii="Arial" w:hAnsi="Arial" w:cs="Arial"/>
          <w:i/>
          <w:sz w:val="18"/>
          <w:szCs w:val="18"/>
        </w:rPr>
        <w:t xml:space="preserve">t of the cost-effectiveness of </w:t>
      </w:r>
      <w:r w:rsidRPr="009D0A2B">
        <w:rPr>
          <w:rFonts w:ascii="Arial" w:hAnsi="Arial" w:cs="Arial"/>
          <w:i/>
          <w:sz w:val="18"/>
          <w:szCs w:val="18"/>
        </w:rPr>
        <w:t xml:space="preserve">low impact development for CSO control.  </w:t>
      </w:r>
      <w:r w:rsidRPr="009D0A2B">
        <w:rPr>
          <w:rFonts w:ascii="Arial" w:hAnsi="Arial" w:cs="Arial"/>
          <w:sz w:val="18"/>
          <w:szCs w:val="18"/>
        </w:rPr>
        <w:t xml:space="preserve">Landscape and Urban Planning. 82:117-131.  </w:t>
      </w:r>
    </w:p>
  </w:endnote>
  <w:endnote w:id="70">
    <w:p w:rsidR="00E659D3" w:rsidRPr="0004522E" w:rsidRDefault="00E659D3" w:rsidP="0004522E">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The Civic Federation.  (2007).  </w:t>
      </w:r>
      <w:r w:rsidRPr="009D0A2B">
        <w:rPr>
          <w:rFonts w:ascii="Arial" w:hAnsi="Arial" w:cs="Arial"/>
          <w:i/>
          <w:sz w:val="18"/>
          <w:szCs w:val="18"/>
        </w:rPr>
        <w:t>Managing Urban Stormwater with Green Infrastructure: Case Stu</w:t>
      </w:r>
      <w:r>
        <w:rPr>
          <w:rFonts w:ascii="Arial" w:hAnsi="Arial" w:cs="Arial"/>
          <w:i/>
          <w:sz w:val="18"/>
          <w:szCs w:val="18"/>
        </w:rPr>
        <w:t xml:space="preserve">dies of Five U.S. Local </w:t>
      </w:r>
      <w:r w:rsidRPr="009D0A2B">
        <w:rPr>
          <w:rFonts w:ascii="Arial" w:hAnsi="Arial" w:cs="Arial"/>
          <w:i/>
          <w:sz w:val="18"/>
          <w:szCs w:val="18"/>
        </w:rPr>
        <w:t>Governments</w:t>
      </w:r>
      <w:r w:rsidRPr="009D0A2B">
        <w:rPr>
          <w:rFonts w:ascii="Arial" w:hAnsi="Arial" w:cs="Arial"/>
          <w:sz w:val="18"/>
          <w:szCs w:val="18"/>
        </w:rPr>
        <w:t>.  Prepared for The Center for Neighborhood Technology.  56 pp.  Available at</w:t>
      </w:r>
      <w:r>
        <w:rPr>
          <w:rFonts w:ascii="Arial" w:hAnsi="Arial" w:cs="Arial"/>
          <w:sz w:val="18"/>
          <w:szCs w:val="18"/>
        </w:rPr>
        <w:t>:</w:t>
      </w:r>
      <w:r w:rsidRPr="009D0A2B">
        <w:rPr>
          <w:rFonts w:ascii="Arial" w:hAnsi="Arial" w:cs="Arial"/>
          <w:sz w:val="18"/>
          <w:szCs w:val="18"/>
        </w:rPr>
        <w:t xml:space="preserve"> &lt;</w:t>
      </w:r>
      <w:hyperlink r:id="rId79" w:history="1">
        <w:r w:rsidRPr="009D0A2B">
          <w:rPr>
            <w:rStyle w:val="Hyperlink"/>
            <w:rFonts w:ascii="Arial" w:hAnsi="Arial" w:cs="Arial"/>
            <w:color w:val="auto"/>
            <w:sz w:val="18"/>
            <w:szCs w:val="18"/>
          </w:rPr>
          <w:t>http://www.cnt.org/repository/GreenInfrastructureReportCivicFederation percent2010-07.pdf</w:t>
        </w:r>
      </w:hyperlink>
      <w:r w:rsidRPr="009D0A2B">
        <w:rPr>
          <w:rFonts w:ascii="Arial" w:hAnsi="Arial" w:cs="Arial"/>
          <w:sz w:val="18"/>
          <w:szCs w:val="18"/>
        </w:rPr>
        <w:t xml:space="preserve">&gt;.  </w:t>
      </w:r>
    </w:p>
  </w:endnote>
  <w:endnote w:id="71">
    <w:p w:rsidR="00E659D3" w:rsidRPr="0004522E" w:rsidRDefault="00E659D3" w:rsidP="0004522E">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USEPA.  (2009).  </w:t>
      </w:r>
      <w:r w:rsidRPr="009D0A2B">
        <w:rPr>
          <w:rFonts w:ascii="Arial" w:hAnsi="Arial" w:cs="Arial"/>
          <w:i/>
          <w:sz w:val="18"/>
          <w:szCs w:val="18"/>
        </w:rPr>
        <w:t>National Pollutant Discharge Elimination System (NPDES) Menu of B</w:t>
      </w:r>
      <w:r>
        <w:rPr>
          <w:rFonts w:ascii="Arial" w:hAnsi="Arial" w:cs="Arial"/>
          <w:i/>
          <w:sz w:val="18"/>
          <w:szCs w:val="18"/>
        </w:rPr>
        <w:t xml:space="preserve">MPs: Porous Asphalt Pavement.  </w:t>
      </w:r>
      <w:r w:rsidRPr="009D0A2B">
        <w:rPr>
          <w:rFonts w:ascii="Arial" w:hAnsi="Arial" w:cs="Arial"/>
          <w:sz w:val="18"/>
          <w:szCs w:val="18"/>
        </w:rPr>
        <w:t>Available at</w:t>
      </w:r>
      <w:r>
        <w:rPr>
          <w:rFonts w:ascii="Arial" w:hAnsi="Arial" w:cs="Arial"/>
          <w:sz w:val="18"/>
          <w:szCs w:val="18"/>
        </w:rPr>
        <w:t>:</w:t>
      </w:r>
      <w:r w:rsidRPr="009D0A2B">
        <w:rPr>
          <w:rFonts w:ascii="Arial" w:hAnsi="Arial" w:cs="Arial"/>
          <w:sz w:val="18"/>
          <w:szCs w:val="18"/>
        </w:rPr>
        <w:t xml:space="preserve"> &lt;</w:t>
      </w:r>
      <w:hyperlink r:id="rId80" w:history="1">
        <w:r w:rsidRPr="009D0A2B">
          <w:rPr>
            <w:rStyle w:val="Hyperlink"/>
            <w:rFonts w:ascii="Arial" w:hAnsi="Arial" w:cs="Arial"/>
            <w:color w:val="auto"/>
            <w:sz w:val="18"/>
            <w:szCs w:val="18"/>
          </w:rPr>
          <w:t>http://cfpub.epa.gov/npdes/stormwater/menuofbmps/index.cfm?action=factsheet_results&amp;view=specific&amp;bmp=135&amp;minmeasure=5</w:t>
        </w:r>
      </w:hyperlink>
      <w:r w:rsidRPr="009D0A2B">
        <w:rPr>
          <w:rFonts w:ascii="Arial" w:hAnsi="Arial" w:cs="Arial"/>
          <w:sz w:val="18"/>
          <w:szCs w:val="18"/>
        </w:rPr>
        <w:t>&gt;.</w:t>
      </w:r>
    </w:p>
  </w:endnote>
  <w:endnote w:id="72">
    <w:p w:rsidR="00E659D3" w:rsidRPr="0004522E" w:rsidRDefault="00E659D3" w:rsidP="0004522E">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New York State Department of Environmental Conservation. (2010).  </w:t>
      </w:r>
      <w:r w:rsidRPr="009D0A2B">
        <w:rPr>
          <w:rFonts w:ascii="Arial" w:hAnsi="Arial" w:cs="Arial"/>
          <w:i/>
          <w:sz w:val="18"/>
          <w:szCs w:val="18"/>
        </w:rPr>
        <w:t>New York Stat</w:t>
      </w:r>
      <w:r>
        <w:rPr>
          <w:rFonts w:ascii="Arial" w:hAnsi="Arial" w:cs="Arial"/>
          <w:i/>
          <w:sz w:val="18"/>
          <w:szCs w:val="18"/>
        </w:rPr>
        <w:t xml:space="preserve">e Stormwater Management Design </w:t>
      </w:r>
      <w:r w:rsidRPr="009D0A2B">
        <w:rPr>
          <w:rFonts w:ascii="Arial" w:hAnsi="Arial" w:cs="Arial"/>
          <w:i/>
          <w:sz w:val="18"/>
          <w:szCs w:val="18"/>
        </w:rPr>
        <w:t>Manual</w:t>
      </w:r>
      <w:r w:rsidRPr="009D0A2B">
        <w:rPr>
          <w:rFonts w:ascii="Arial" w:hAnsi="Arial" w:cs="Arial"/>
          <w:sz w:val="18"/>
          <w:szCs w:val="18"/>
        </w:rPr>
        <w:t>.  642 pp. Available at</w:t>
      </w:r>
      <w:r>
        <w:rPr>
          <w:rFonts w:ascii="Arial" w:hAnsi="Arial" w:cs="Arial"/>
          <w:sz w:val="18"/>
          <w:szCs w:val="18"/>
        </w:rPr>
        <w:t>:</w:t>
      </w:r>
      <w:r w:rsidRPr="009D0A2B">
        <w:rPr>
          <w:rFonts w:ascii="Arial" w:hAnsi="Arial" w:cs="Arial"/>
          <w:sz w:val="18"/>
          <w:szCs w:val="18"/>
        </w:rPr>
        <w:t xml:space="preserve"> &lt;</w:t>
      </w:r>
      <w:hyperlink r:id="rId81" w:history="1">
        <w:r w:rsidRPr="009D0A2B">
          <w:rPr>
            <w:rStyle w:val="Hyperlink"/>
            <w:rFonts w:ascii="Arial" w:hAnsi="Arial" w:cs="Arial"/>
            <w:color w:val="auto"/>
            <w:sz w:val="18"/>
            <w:szCs w:val="18"/>
          </w:rPr>
          <w:t>http://www.dec.ny.gov/chemical/29072.html</w:t>
        </w:r>
      </w:hyperlink>
      <w:r w:rsidRPr="009D0A2B">
        <w:rPr>
          <w:rFonts w:ascii="Arial" w:hAnsi="Arial" w:cs="Arial"/>
          <w:sz w:val="18"/>
          <w:szCs w:val="18"/>
        </w:rPr>
        <w:t>&gt;.</w:t>
      </w:r>
    </w:p>
  </w:endnote>
  <w:endnote w:id="73">
    <w:p w:rsidR="00E659D3" w:rsidRPr="009D0A2B" w:rsidRDefault="00E659D3" w:rsidP="009D0A2B">
      <w:pPr>
        <w:pStyle w:val="EndnoteText"/>
        <w:ind w:left="360" w:hanging="360"/>
        <w:rPr>
          <w:rFonts w:ascii="Arial" w:hAnsi="Arial" w:cs="Arial"/>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Field, R., Masters, H., Singer, M. (1982). </w:t>
      </w:r>
      <w:r w:rsidRPr="009D0A2B">
        <w:rPr>
          <w:rFonts w:ascii="Arial" w:hAnsi="Arial" w:cs="Arial"/>
          <w:i/>
          <w:sz w:val="18"/>
          <w:szCs w:val="18"/>
        </w:rPr>
        <w:t>Status of porous pavement research</w:t>
      </w:r>
      <w:r w:rsidRPr="009D0A2B">
        <w:rPr>
          <w:rFonts w:ascii="Arial" w:hAnsi="Arial" w:cs="Arial"/>
          <w:sz w:val="18"/>
          <w:szCs w:val="18"/>
        </w:rPr>
        <w:t>. Water Research. 16: 849–858.</w:t>
      </w:r>
    </w:p>
  </w:endnote>
  <w:endnote w:id="74">
    <w:p w:rsidR="00E659D3" w:rsidRPr="0004522E" w:rsidRDefault="00E659D3" w:rsidP="0004522E">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Dreelin, E.A., Fowler, L., Carroll, C.R. (2006). </w:t>
      </w:r>
      <w:r w:rsidRPr="009D0A2B">
        <w:rPr>
          <w:rFonts w:ascii="Arial" w:hAnsi="Arial" w:cs="Arial"/>
          <w:i/>
          <w:sz w:val="18"/>
          <w:szCs w:val="18"/>
        </w:rPr>
        <w:t>A Test of Porous Pavement Effectiveness on Clay Soils During Natural S</w:t>
      </w:r>
      <w:r>
        <w:rPr>
          <w:rFonts w:ascii="Arial" w:hAnsi="Arial" w:cs="Arial"/>
          <w:i/>
          <w:sz w:val="18"/>
          <w:szCs w:val="18"/>
        </w:rPr>
        <w:t xml:space="preserve">torm </w:t>
      </w:r>
      <w:r w:rsidRPr="009D0A2B">
        <w:rPr>
          <w:rFonts w:ascii="Arial" w:hAnsi="Arial" w:cs="Arial"/>
          <w:i/>
          <w:sz w:val="18"/>
          <w:szCs w:val="18"/>
        </w:rPr>
        <w:t>Events</w:t>
      </w:r>
      <w:r w:rsidRPr="009D0A2B">
        <w:rPr>
          <w:rFonts w:ascii="Arial" w:hAnsi="Arial" w:cs="Arial"/>
          <w:sz w:val="18"/>
          <w:szCs w:val="18"/>
        </w:rPr>
        <w:t>. Water Research. 40: 799–805.</w:t>
      </w:r>
    </w:p>
  </w:endnote>
  <w:endnote w:id="75">
    <w:p w:rsidR="00E659D3" w:rsidRPr="0004522E" w:rsidRDefault="00E659D3" w:rsidP="0004522E">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Montalto, F., Behr, C., Alfredo, K., Wolf, M., Arye, M., and Walsh, M. (2007).  </w:t>
      </w:r>
      <w:r w:rsidRPr="009D0A2B">
        <w:rPr>
          <w:rFonts w:ascii="Arial" w:hAnsi="Arial" w:cs="Arial"/>
          <w:i/>
          <w:sz w:val="18"/>
          <w:szCs w:val="18"/>
        </w:rPr>
        <w:t>Rapid assessmen</w:t>
      </w:r>
      <w:r>
        <w:rPr>
          <w:rFonts w:ascii="Arial" w:hAnsi="Arial" w:cs="Arial"/>
          <w:i/>
          <w:sz w:val="18"/>
          <w:szCs w:val="18"/>
        </w:rPr>
        <w:t xml:space="preserve">t of the cost-effectiveness of </w:t>
      </w:r>
      <w:r w:rsidRPr="009D0A2B">
        <w:rPr>
          <w:rFonts w:ascii="Arial" w:hAnsi="Arial" w:cs="Arial"/>
          <w:i/>
          <w:sz w:val="18"/>
          <w:szCs w:val="18"/>
        </w:rPr>
        <w:t xml:space="preserve">low impact development for CSO control.  </w:t>
      </w:r>
      <w:r w:rsidRPr="009D0A2B">
        <w:rPr>
          <w:rFonts w:ascii="Arial" w:hAnsi="Arial" w:cs="Arial"/>
          <w:sz w:val="18"/>
          <w:szCs w:val="18"/>
        </w:rPr>
        <w:t xml:space="preserve">Landscape and Urban Planning. 82:117-131.  </w:t>
      </w:r>
    </w:p>
  </w:endnote>
  <w:endnote w:id="76">
    <w:p w:rsidR="00E659D3" w:rsidRPr="0004522E" w:rsidRDefault="00E659D3" w:rsidP="0004522E">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w:t>
      </w:r>
      <w:r w:rsidRPr="009D0A2B">
        <w:rPr>
          <w:rStyle w:val="apple-style-span"/>
          <w:rFonts w:ascii="Arial" w:hAnsi="Arial" w:cs="Arial"/>
          <w:sz w:val="18"/>
          <w:szCs w:val="18"/>
        </w:rPr>
        <w:t xml:space="preserve">Watershed Management Institute (WMI). (1997). </w:t>
      </w:r>
      <w:r w:rsidRPr="009D0A2B">
        <w:rPr>
          <w:rStyle w:val="apple-style-span"/>
          <w:rFonts w:ascii="Arial" w:hAnsi="Arial" w:cs="Arial"/>
          <w:i/>
          <w:sz w:val="18"/>
          <w:szCs w:val="18"/>
        </w:rPr>
        <w:t>Operation, Maintenance, and Management of Stormwater Management Systems</w:t>
      </w:r>
      <w:r w:rsidRPr="009D0A2B">
        <w:rPr>
          <w:rStyle w:val="apple-style-span"/>
          <w:rFonts w:ascii="Arial" w:hAnsi="Arial" w:cs="Arial"/>
          <w:sz w:val="18"/>
          <w:szCs w:val="18"/>
        </w:rPr>
        <w:t xml:space="preserve">. Prepared for US EPA Office of Water. Washington, DC.  </w:t>
      </w:r>
    </w:p>
  </w:endnote>
  <w:endnote w:id="77">
    <w:p w:rsidR="00E659D3" w:rsidRPr="0004522E" w:rsidRDefault="00E659D3" w:rsidP="0004522E">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Pennsylvania Department of Environmental Protection, Bureau of Watershed Management.  (2006).  </w:t>
      </w:r>
      <w:r>
        <w:rPr>
          <w:rFonts w:ascii="Arial" w:hAnsi="Arial" w:cs="Arial"/>
          <w:i/>
          <w:sz w:val="18"/>
          <w:szCs w:val="18"/>
        </w:rPr>
        <w:t xml:space="preserve">Pennsylvania </w:t>
      </w:r>
      <w:r w:rsidRPr="009D0A2B">
        <w:rPr>
          <w:rFonts w:ascii="Arial" w:hAnsi="Arial" w:cs="Arial"/>
          <w:i/>
          <w:sz w:val="18"/>
          <w:szCs w:val="18"/>
        </w:rPr>
        <w:t xml:space="preserve">Stormwater Best Management Practices Manual.  </w:t>
      </w:r>
      <w:r w:rsidRPr="009D0A2B">
        <w:rPr>
          <w:rFonts w:ascii="Arial" w:hAnsi="Arial" w:cs="Arial"/>
          <w:sz w:val="18"/>
          <w:szCs w:val="18"/>
        </w:rPr>
        <w:t>685 pp.  Available at</w:t>
      </w:r>
      <w:r>
        <w:rPr>
          <w:rFonts w:ascii="Arial" w:hAnsi="Arial" w:cs="Arial"/>
          <w:sz w:val="18"/>
          <w:szCs w:val="18"/>
        </w:rPr>
        <w:t>:</w:t>
      </w:r>
      <w:r>
        <w:rPr>
          <w:rFonts w:ascii="Arial" w:hAnsi="Arial" w:cs="Arial"/>
          <w:i/>
          <w:sz w:val="18"/>
          <w:szCs w:val="18"/>
        </w:rPr>
        <w:t xml:space="preserve"> </w:t>
      </w:r>
      <w:r w:rsidRPr="009D0A2B">
        <w:rPr>
          <w:rFonts w:ascii="Arial" w:hAnsi="Arial" w:cs="Arial"/>
          <w:i/>
          <w:sz w:val="18"/>
          <w:szCs w:val="18"/>
        </w:rPr>
        <w:t>&lt;</w:t>
      </w:r>
      <w:hyperlink r:id="rId82" w:history="1">
        <w:r w:rsidRPr="009D0A2B">
          <w:rPr>
            <w:rStyle w:val="Hyperlink"/>
            <w:rFonts w:ascii="Arial" w:hAnsi="Arial" w:cs="Arial"/>
            <w:color w:val="auto"/>
            <w:sz w:val="18"/>
            <w:szCs w:val="18"/>
          </w:rPr>
          <w:t>http://www.elibrary.dep.state.pa.us/dsweb/View/Collection-8305</w:t>
        </w:r>
      </w:hyperlink>
      <w:r w:rsidRPr="009D0A2B">
        <w:rPr>
          <w:rFonts w:ascii="Arial" w:hAnsi="Arial" w:cs="Arial"/>
          <w:sz w:val="18"/>
          <w:szCs w:val="18"/>
        </w:rPr>
        <w:t>&gt;.</w:t>
      </w:r>
    </w:p>
  </w:endnote>
  <w:endnote w:id="78">
    <w:p w:rsidR="00E659D3" w:rsidRPr="009D0A2B" w:rsidRDefault="00E659D3" w:rsidP="0004522E">
      <w:pPr>
        <w:pStyle w:val="EndnoteText"/>
        <w:ind w:left="360" w:hanging="360"/>
        <w:rPr>
          <w:rFonts w:ascii="Arial" w:hAnsi="Arial" w:cs="Arial"/>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The Stormwater Manager’s Resource Center.  </w:t>
      </w:r>
      <w:r w:rsidRPr="009D0A2B">
        <w:rPr>
          <w:rFonts w:ascii="Arial" w:hAnsi="Arial" w:cs="Arial"/>
          <w:i/>
          <w:sz w:val="18"/>
          <w:szCs w:val="18"/>
        </w:rPr>
        <w:t>Stormwater Management Fact Sheet Porous Pavement</w:t>
      </w:r>
      <w:r>
        <w:rPr>
          <w:rFonts w:ascii="Arial" w:hAnsi="Arial" w:cs="Arial"/>
          <w:sz w:val="18"/>
          <w:szCs w:val="18"/>
        </w:rPr>
        <w:t xml:space="preserve">.  Available at: </w:t>
      </w:r>
      <w:r w:rsidRPr="009D0A2B">
        <w:rPr>
          <w:rFonts w:ascii="Arial" w:hAnsi="Arial" w:cs="Arial"/>
          <w:sz w:val="18"/>
          <w:szCs w:val="18"/>
        </w:rPr>
        <w:t>&lt;</w:t>
      </w:r>
      <w:hyperlink r:id="rId83" w:history="1">
        <w:r w:rsidRPr="009D0A2B">
          <w:rPr>
            <w:rStyle w:val="Hyperlink"/>
            <w:rFonts w:ascii="Arial" w:hAnsi="Arial" w:cs="Arial"/>
            <w:color w:val="auto"/>
            <w:sz w:val="18"/>
            <w:szCs w:val="18"/>
          </w:rPr>
          <w:t>http://www.stormwatercenter.net/Assorted percent20Fact percent20Sheets/Tool6_Stormwater_Practices/Infiltration percent20Practice/Porous percent20Pavement.htm</w:t>
        </w:r>
      </w:hyperlink>
      <w:r w:rsidRPr="009D0A2B">
        <w:rPr>
          <w:rFonts w:ascii="Arial" w:hAnsi="Arial" w:cs="Arial"/>
          <w:sz w:val="18"/>
          <w:szCs w:val="18"/>
        </w:rPr>
        <w:t>&gt;</w:t>
      </w:r>
    </w:p>
  </w:endnote>
  <w:endnote w:id="79">
    <w:p w:rsidR="00E659D3" w:rsidRPr="009D0A2B" w:rsidRDefault="00E659D3" w:rsidP="0004522E">
      <w:pPr>
        <w:pStyle w:val="EndnoteText"/>
        <w:ind w:left="360" w:hanging="360"/>
        <w:rPr>
          <w:rFonts w:ascii="Arial" w:hAnsi="Arial" w:cs="Arial"/>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The Stormwater Manager’s Resource Center.  </w:t>
      </w:r>
      <w:r w:rsidRPr="009D0A2B">
        <w:rPr>
          <w:rFonts w:ascii="Arial" w:hAnsi="Arial" w:cs="Arial"/>
          <w:i/>
          <w:sz w:val="18"/>
          <w:szCs w:val="18"/>
        </w:rPr>
        <w:t>Stormwater Management Fact Sheet Porous Pavement</w:t>
      </w:r>
      <w:r>
        <w:rPr>
          <w:rFonts w:ascii="Arial" w:hAnsi="Arial" w:cs="Arial"/>
          <w:sz w:val="18"/>
          <w:szCs w:val="18"/>
        </w:rPr>
        <w:t xml:space="preserve">.  Available at: </w:t>
      </w:r>
      <w:r w:rsidRPr="009D0A2B">
        <w:rPr>
          <w:rFonts w:ascii="Arial" w:hAnsi="Arial" w:cs="Arial"/>
          <w:sz w:val="18"/>
          <w:szCs w:val="18"/>
        </w:rPr>
        <w:t>&lt;</w:t>
      </w:r>
      <w:hyperlink r:id="rId84" w:history="1">
        <w:r w:rsidRPr="009D0A2B">
          <w:rPr>
            <w:rStyle w:val="Hyperlink"/>
            <w:rFonts w:ascii="Arial" w:hAnsi="Arial" w:cs="Arial"/>
            <w:color w:val="auto"/>
            <w:sz w:val="18"/>
            <w:szCs w:val="18"/>
          </w:rPr>
          <w:t>http://www.stormwatercenter.net/Assorted percent20Fact percent20Sheets/Tool6_Stormwater_Practices/Infiltration percent20Practice/Porous percent20Pavement.htm</w:t>
        </w:r>
      </w:hyperlink>
      <w:r w:rsidRPr="009D0A2B">
        <w:rPr>
          <w:rFonts w:ascii="Arial" w:hAnsi="Arial" w:cs="Arial"/>
          <w:sz w:val="18"/>
          <w:szCs w:val="18"/>
        </w:rPr>
        <w:t>&gt;</w:t>
      </w:r>
    </w:p>
  </w:endnote>
  <w:endnote w:id="80">
    <w:p w:rsidR="00E659D3" w:rsidRPr="0004522E" w:rsidRDefault="00E659D3" w:rsidP="0004522E">
      <w:pPr>
        <w:pStyle w:val="EndnoteText"/>
        <w:ind w:left="360" w:hanging="360"/>
        <w:rPr>
          <w:rFonts w:ascii="Arial" w:hAnsi="Arial" w:cs="Arial"/>
          <w:i/>
          <w:sz w:val="18"/>
          <w:szCs w:val="18"/>
        </w:rPr>
      </w:pPr>
      <w:r w:rsidRPr="009D0A2B">
        <w:rPr>
          <w:rStyle w:val="EndnoteReference"/>
          <w:rFonts w:ascii="Arial" w:hAnsi="Arial" w:cs="Arial"/>
          <w:sz w:val="18"/>
          <w:szCs w:val="18"/>
        </w:rPr>
        <w:endnoteRef/>
      </w:r>
      <w:r w:rsidRPr="009D0A2B">
        <w:rPr>
          <w:rFonts w:ascii="Arial" w:hAnsi="Arial" w:cs="Arial"/>
          <w:sz w:val="18"/>
          <w:szCs w:val="18"/>
        </w:rPr>
        <w:t xml:space="preserve"> California Stormwater Quality Association.  (2003).  </w:t>
      </w:r>
      <w:r w:rsidRPr="009D0A2B">
        <w:rPr>
          <w:rFonts w:ascii="Arial" w:hAnsi="Arial" w:cs="Arial"/>
          <w:i/>
          <w:sz w:val="18"/>
          <w:szCs w:val="18"/>
        </w:rPr>
        <w:t xml:space="preserve">California Stormwater BMP Handbook: New Development and Redevelopment: Pervious Pavement.  10 pp.  </w:t>
      </w:r>
      <w:r>
        <w:rPr>
          <w:rFonts w:ascii="Arial" w:hAnsi="Arial" w:cs="Arial"/>
          <w:sz w:val="18"/>
          <w:szCs w:val="18"/>
        </w:rPr>
        <w:t xml:space="preserve">Available at: </w:t>
      </w:r>
      <w:r w:rsidRPr="009D0A2B">
        <w:rPr>
          <w:rFonts w:ascii="Arial" w:hAnsi="Arial" w:cs="Arial"/>
          <w:sz w:val="18"/>
          <w:szCs w:val="18"/>
        </w:rPr>
        <w:t>&lt;</w:t>
      </w:r>
      <w:hyperlink r:id="rId85" w:history="1">
        <w:r w:rsidRPr="009D0A2B">
          <w:rPr>
            <w:rStyle w:val="Hyperlink"/>
            <w:rFonts w:ascii="Arial" w:hAnsi="Arial" w:cs="Arial"/>
            <w:color w:val="auto"/>
            <w:sz w:val="18"/>
            <w:szCs w:val="18"/>
          </w:rPr>
          <w:t>http://www.cabmphandbooks.com/Documents/Development/SD-20.pdf</w:t>
        </w:r>
      </w:hyperlink>
      <w:r w:rsidRPr="009D0A2B">
        <w:rPr>
          <w:rFonts w:ascii="Arial" w:hAnsi="Arial" w:cs="Arial"/>
          <w:sz w:val="18"/>
          <w:szCs w:val="18"/>
        </w:rPr>
        <w:t>&gt;</w:t>
      </w:r>
    </w:p>
    <w:p w:rsidR="00E659D3" w:rsidRPr="008A0274" w:rsidRDefault="00E659D3" w:rsidP="0004522E">
      <w:pPr>
        <w:pStyle w:val="EndnoteText"/>
      </w:pPr>
    </w:p>
    <w:p w:rsidR="00E659D3" w:rsidRPr="0004522E" w:rsidRDefault="00E659D3" w:rsidP="0004522E">
      <w:pPr>
        <w:pStyle w:val="EndnoteText"/>
        <w:rPr>
          <w:rFonts w:ascii="Arial" w:hAnsi="Arial" w:cs="Arial"/>
          <w:b/>
          <w:sz w:val="18"/>
          <w:szCs w:val="18"/>
        </w:rPr>
      </w:pPr>
      <w:r w:rsidRPr="0004522E">
        <w:rPr>
          <w:rFonts w:ascii="Arial" w:hAnsi="Arial" w:cs="Arial"/>
          <w:b/>
          <w:sz w:val="18"/>
          <w:szCs w:val="18"/>
        </w:rPr>
        <w:t>Additional resources on Porous Pavement and Permiable Pavers:</w:t>
      </w:r>
    </w:p>
    <w:p w:rsidR="00E659D3" w:rsidRPr="0004522E" w:rsidRDefault="00E659D3" w:rsidP="0004522E">
      <w:pPr>
        <w:pStyle w:val="EndnoteText"/>
        <w:rPr>
          <w:rFonts w:ascii="Arial" w:hAnsi="Arial" w:cs="Arial"/>
          <w:b/>
          <w:sz w:val="18"/>
          <w:szCs w:val="18"/>
        </w:rPr>
      </w:pPr>
    </w:p>
    <w:p w:rsidR="00E659D3" w:rsidRPr="0004522E" w:rsidRDefault="00E659D3" w:rsidP="0004522E">
      <w:pPr>
        <w:pStyle w:val="bullet"/>
        <w:numPr>
          <w:ilvl w:val="0"/>
          <w:numId w:val="45"/>
        </w:numPr>
        <w:rPr>
          <w:b/>
          <w:i/>
          <w:sz w:val="18"/>
          <w:szCs w:val="18"/>
        </w:rPr>
      </w:pPr>
      <w:r w:rsidRPr="0004522E">
        <w:rPr>
          <w:i/>
          <w:sz w:val="18"/>
          <w:szCs w:val="18"/>
        </w:rPr>
        <w:t xml:space="preserve">Los Angeles County BMP Design Criteria </w:t>
      </w:r>
      <w:r w:rsidRPr="0004522E">
        <w:rPr>
          <w:sz w:val="18"/>
          <w:szCs w:val="18"/>
        </w:rPr>
        <w:t>(</w:t>
      </w:r>
      <w:hyperlink r:id="rId86" w:history="1">
        <w:r w:rsidRPr="0004522E">
          <w:rPr>
            <w:rStyle w:val="Hyperlink"/>
            <w:color w:val="auto"/>
            <w:sz w:val="18"/>
            <w:szCs w:val="18"/>
          </w:rPr>
          <w:t>http://www.ci.chula-vista.ca.us/City_Services/ Development_Services/Engineering/ PDF%20Files/ StormWaterManual/B-10.pdf</w:t>
        </w:r>
      </w:hyperlink>
      <w:r w:rsidRPr="0004522E">
        <w:rPr>
          <w:sz w:val="18"/>
          <w:szCs w:val="18"/>
        </w:rPr>
        <w:t>) – Contains design protocols and considerations for permeable pavement applications</w:t>
      </w:r>
    </w:p>
    <w:p w:rsidR="00E659D3" w:rsidRPr="0004522E" w:rsidRDefault="00E659D3" w:rsidP="0004522E">
      <w:pPr>
        <w:pStyle w:val="bullet"/>
        <w:numPr>
          <w:ilvl w:val="0"/>
          <w:numId w:val="45"/>
        </w:numPr>
        <w:rPr>
          <w:sz w:val="18"/>
          <w:szCs w:val="18"/>
        </w:rPr>
      </w:pPr>
      <w:r w:rsidRPr="0004522E">
        <w:rPr>
          <w:i/>
          <w:sz w:val="18"/>
          <w:szCs w:val="18"/>
        </w:rPr>
        <w:t>University of New Hampshire Stormwater Center, Design Specifications for Porous Asphalt Pavement and Infiltration Beds (</w:t>
      </w:r>
      <w:hyperlink r:id="rId87" w:history="1">
        <w:r w:rsidRPr="0004522E">
          <w:rPr>
            <w:rStyle w:val="Hyperlink"/>
            <w:color w:val="auto"/>
            <w:sz w:val="18"/>
            <w:szCs w:val="18"/>
          </w:rPr>
          <w:t>http://www.unh.edu/erg/cstev/pubs_specs_info/ unhsc_pa_spec_posted_06_09.pdf</w:t>
        </w:r>
      </w:hyperlink>
      <w:r w:rsidRPr="0004522E">
        <w:rPr>
          <w:sz w:val="18"/>
          <w:szCs w:val="18"/>
        </w:rPr>
        <w:t>) – Contains design specifications for permeable asphalt applications</w:t>
      </w:r>
    </w:p>
    <w:p w:rsidR="00E659D3" w:rsidRPr="0004522E" w:rsidRDefault="00E659D3" w:rsidP="0004522E">
      <w:pPr>
        <w:pStyle w:val="bullet"/>
        <w:numPr>
          <w:ilvl w:val="0"/>
          <w:numId w:val="45"/>
        </w:numPr>
        <w:rPr>
          <w:b/>
          <w:i/>
          <w:sz w:val="18"/>
          <w:szCs w:val="18"/>
        </w:rPr>
      </w:pPr>
      <w:r w:rsidRPr="0004522E">
        <w:rPr>
          <w:i/>
          <w:sz w:val="18"/>
          <w:szCs w:val="18"/>
        </w:rPr>
        <w:t>North Carolina State University, Permeable Pavement Research</w:t>
      </w:r>
      <w:r w:rsidRPr="0004522E">
        <w:rPr>
          <w:sz w:val="18"/>
          <w:szCs w:val="18"/>
        </w:rPr>
        <w:t xml:space="preserve"> Web site, (</w:t>
      </w:r>
      <w:hyperlink r:id="rId88" w:history="1">
        <w:r w:rsidRPr="0004522E">
          <w:rPr>
            <w:rStyle w:val="Hyperlink"/>
            <w:color w:val="auto"/>
            <w:sz w:val="18"/>
            <w:szCs w:val="18"/>
          </w:rPr>
          <w:t>http://www.bae.ncsu.edu/info/permeable-pavement/</w:t>
        </w:r>
      </w:hyperlink>
      <w:r w:rsidRPr="0004522E">
        <w:rPr>
          <w:sz w:val="18"/>
          <w:szCs w:val="18"/>
        </w:rPr>
        <w:t>) – Contains background information and current performance research on permeable pavement applications</w:t>
      </w:r>
    </w:p>
    <w:p w:rsidR="00E659D3" w:rsidRPr="0004522E" w:rsidRDefault="00E659D3" w:rsidP="001E3E5B">
      <w:pPr>
        <w:pStyle w:val="bullet"/>
        <w:keepLines/>
        <w:numPr>
          <w:ilvl w:val="0"/>
          <w:numId w:val="45"/>
        </w:numPr>
        <w:rPr>
          <w:sz w:val="18"/>
          <w:szCs w:val="18"/>
        </w:rPr>
      </w:pPr>
      <w:r w:rsidRPr="0004522E">
        <w:rPr>
          <w:i/>
          <w:sz w:val="18"/>
          <w:szCs w:val="18"/>
        </w:rPr>
        <w:t xml:space="preserve">Virginia Department of Conservation and Recreation, Stormwater Design Specifications </w:t>
      </w:r>
      <w:r w:rsidRPr="0004522E">
        <w:rPr>
          <w:sz w:val="18"/>
          <w:szCs w:val="18"/>
        </w:rPr>
        <w:t>(</w:t>
      </w:r>
      <w:hyperlink r:id="rId89" w:history="1">
        <w:r w:rsidRPr="0004522E">
          <w:rPr>
            <w:rStyle w:val="Hyperlink"/>
            <w:color w:val="auto"/>
            <w:sz w:val="18"/>
            <w:szCs w:val="18"/>
          </w:rPr>
          <w:t>http://www.chesapeakestormwater.net/storage/first-draft-baywide-design-specificationsi/BAYWIDE%20No%207%20PERMEABLE%20PAVERS.pdf</w:t>
        </w:r>
      </w:hyperlink>
      <w:r w:rsidRPr="0004522E">
        <w:rPr>
          <w:sz w:val="18"/>
          <w:szCs w:val="18"/>
        </w:rPr>
        <w:t>) – Contains design specifications for permeable pavers</w:t>
      </w:r>
    </w:p>
    <w:p w:rsidR="00E659D3" w:rsidRPr="008A0274" w:rsidRDefault="00E659D3" w:rsidP="005F74AA">
      <w:pPr>
        <w:pStyle w:val="EndnoteText"/>
      </w:pPr>
    </w:p>
  </w:endnote>
  <w:endnote w:id="81">
    <w:p w:rsidR="00E659D3" w:rsidRPr="0004522E" w:rsidRDefault="00E659D3" w:rsidP="0004522E">
      <w:pPr>
        <w:pStyle w:val="EndnoteText"/>
        <w:tabs>
          <w:tab w:val="left" w:pos="270"/>
        </w:tabs>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Plumb, M. (2008). </w:t>
      </w:r>
      <w:r w:rsidRPr="0004522E">
        <w:rPr>
          <w:rFonts w:ascii="Arial" w:hAnsi="Arial" w:cs="Arial"/>
          <w:i/>
          <w:sz w:val="18"/>
          <w:szCs w:val="18"/>
        </w:rPr>
        <w:t xml:space="preserve">Sustainable Raindrops: Cleaning New York Harbor by Greening the Urban Landscape.  </w:t>
      </w:r>
      <w:r w:rsidRPr="0004522E">
        <w:rPr>
          <w:rFonts w:ascii="Arial" w:hAnsi="Arial" w:cs="Arial"/>
          <w:sz w:val="18"/>
          <w:szCs w:val="18"/>
        </w:rPr>
        <w:t xml:space="preserve">40 pp.  Available at: </w:t>
      </w:r>
    </w:p>
    <w:p w:rsidR="00E659D3" w:rsidRPr="0004522E" w:rsidRDefault="00E659D3" w:rsidP="0004522E">
      <w:pPr>
        <w:pStyle w:val="EndnoteText"/>
        <w:tabs>
          <w:tab w:val="left" w:pos="270"/>
        </w:tabs>
        <w:ind w:left="360" w:hanging="360"/>
        <w:rPr>
          <w:rFonts w:ascii="Arial" w:hAnsi="Arial" w:cs="Arial"/>
          <w:i/>
          <w:sz w:val="18"/>
          <w:szCs w:val="18"/>
        </w:rPr>
      </w:pPr>
      <w:r w:rsidRPr="0004522E">
        <w:rPr>
          <w:rFonts w:ascii="Arial" w:hAnsi="Arial" w:cs="Arial"/>
          <w:sz w:val="18"/>
          <w:szCs w:val="18"/>
        </w:rPr>
        <w:tab/>
      </w:r>
      <w:r w:rsidRPr="0004522E">
        <w:rPr>
          <w:rFonts w:ascii="Arial" w:hAnsi="Arial" w:cs="Arial"/>
          <w:sz w:val="18"/>
          <w:szCs w:val="18"/>
        </w:rPr>
        <w:tab/>
        <w:t xml:space="preserve">&lt; </w:t>
      </w:r>
      <w:hyperlink r:id="rId90" w:history="1">
        <w:r w:rsidRPr="0004522E">
          <w:rPr>
            <w:rStyle w:val="Hyperlink"/>
            <w:rFonts w:ascii="Arial" w:hAnsi="Arial" w:cs="Arial"/>
            <w:color w:val="auto"/>
            <w:sz w:val="18"/>
            <w:szCs w:val="18"/>
          </w:rPr>
          <w:t>http://www.riverkeeper.org/wp-content/uploads/2009/06/Sustainable-Raindrops-Report-1-8-08.pdf</w:t>
        </w:r>
      </w:hyperlink>
      <w:r w:rsidRPr="0004522E">
        <w:rPr>
          <w:rFonts w:ascii="Arial" w:hAnsi="Arial" w:cs="Arial"/>
          <w:sz w:val="18"/>
          <w:szCs w:val="18"/>
        </w:rPr>
        <w:t>&gt;</w:t>
      </w:r>
      <w:r w:rsidRPr="0004522E">
        <w:rPr>
          <w:rFonts w:ascii="Arial" w:hAnsi="Arial" w:cs="Arial"/>
          <w:i/>
          <w:sz w:val="18"/>
          <w:szCs w:val="18"/>
        </w:rPr>
        <w:t>.</w:t>
      </w:r>
    </w:p>
  </w:endnote>
  <w:endnote w:id="82">
    <w:p w:rsidR="00E659D3" w:rsidRPr="0004522E" w:rsidRDefault="00E659D3" w:rsidP="0004522E">
      <w:pPr>
        <w:pStyle w:val="EndnoteText"/>
        <w:tabs>
          <w:tab w:val="left" w:pos="270"/>
        </w:tabs>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New York State Department of Environmental Conservation. (2010).  </w:t>
      </w:r>
      <w:r w:rsidRPr="0004522E">
        <w:rPr>
          <w:rFonts w:ascii="Arial" w:hAnsi="Arial" w:cs="Arial"/>
          <w:i/>
          <w:iCs/>
          <w:sz w:val="18"/>
          <w:szCs w:val="18"/>
        </w:rPr>
        <w:t>New York State Stormwater Management Design    Manual</w:t>
      </w:r>
      <w:r w:rsidRPr="0004522E">
        <w:rPr>
          <w:rFonts w:ascii="Arial" w:hAnsi="Arial" w:cs="Arial"/>
          <w:sz w:val="18"/>
          <w:szCs w:val="18"/>
        </w:rPr>
        <w:t>. 642 pp. Available at</w:t>
      </w:r>
      <w:r>
        <w:rPr>
          <w:rFonts w:ascii="Arial" w:hAnsi="Arial" w:cs="Arial"/>
          <w:sz w:val="18"/>
          <w:szCs w:val="18"/>
        </w:rPr>
        <w:t>:</w:t>
      </w:r>
      <w:r w:rsidRPr="0004522E">
        <w:rPr>
          <w:rFonts w:ascii="Arial" w:hAnsi="Arial" w:cs="Arial"/>
          <w:sz w:val="18"/>
          <w:szCs w:val="18"/>
        </w:rPr>
        <w:t xml:space="preserve"> &lt;</w:t>
      </w:r>
      <w:hyperlink r:id="rId91" w:history="1">
        <w:r w:rsidRPr="0004522E">
          <w:rPr>
            <w:rStyle w:val="Hyperlink"/>
            <w:rFonts w:ascii="Arial" w:hAnsi="Arial" w:cs="Arial"/>
            <w:color w:val="auto"/>
            <w:sz w:val="18"/>
            <w:szCs w:val="18"/>
          </w:rPr>
          <w:t>http://www.dec.ny.gov/chemical/29072.html</w:t>
        </w:r>
      </w:hyperlink>
      <w:r w:rsidRPr="0004522E">
        <w:rPr>
          <w:rFonts w:ascii="Arial" w:hAnsi="Arial" w:cs="Arial"/>
          <w:sz w:val="18"/>
          <w:szCs w:val="18"/>
        </w:rPr>
        <w:t>&gt;.</w:t>
      </w:r>
    </w:p>
  </w:endnote>
  <w:endnote w:id="83">
    <w:p w:rsidR="00E659D3" w:rsidRPr="0004522E" w:rsidRDefault="00E659D3" w:rsidP="0004522E">
      <w:pPr>
        <w:pStyle w:val="EndnoteText"/>
        <w:tabs>
          <w:tab w:val="left" w:pos="270"/>
        </w:tabs>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USEPA. (2010). </w:t>
      </w:r>
      <w:r w:rsidRPr="0004522E">
        <w:rPr>
          <w:rFonts w:ascii="Arial" w:hAnsi="Arial" w:cs="Arial"/>
          <w:i/>
          <w:sz w:val="18"/>
          <w:szCs w:val="18"/>
        </w:rPr>
        <w:t>Guidance for Federal Land Management in the Chesapeake Bay Watershed</w:t>
      </w:r>
      <w:r w:rsidRPr="0004522E">
        <w:rPr>
          <w:rFonts w:ascii="Arial" w:hAnsi="Arial" w:cs="Arial"/>
          <w:sz w:val="18"/>
          <w:szCs w:val="18"/>
        </w:rPr>
        <w:t>. 848 pp.  Available at</w:t>
      </w:r>
      <w:r>
        <w:rPr>
          <w:rFonts w:ascii="Arial" w:hAnsi="Arial" w:cs="Arial"/>
          <w:sz w:val="18"/>
          <w:szCs w:val="18"/>
        </w:rPr>
        <w:t>:</w:t>
      </w:r>
      <w:r w:rsidRPr="0004522E">
        <w:rPr>
          <w:rFonts w:ascii="Arial" w:hAnsi="Arial" w:cs="Arial"/>
          <w:sz w:val="18"/>
          <w:szCs w:val="18"/>
        </w:rPr>
        <w:t xml:space="preserve"> </w:t>
      </w:r>
    </w:p>
    <w:p w:rsidR="00E659D3" w:rsidRPr="0004522E" w:rsidRDefault="00E659D3" w:rsidP="0004522E">
      <w:pPr>
        <w:pStyle w:val="EndnoteText"/>
        <w:tabs>
          <w:tab w:val="left" w:pos="270"/>
        </w:tabs>
        <w:ind w:left="360" w:hanging="360"/>
        <w:rPr>
          <w:rFonts w:ascii="Arial" w:hAnsi="Arial" w:cs="Arial"/>
          <w:sz w:val="18"/>
          <w:szCs w:val="18"/>
        </w:rPr>
      </w:pPr>
      <w:r w:rsidRPr="0004522E">
        <w:rPr>
          <w:rFonts w:ascii="Arial" w:hAnsi="Arial" w:cs="Arial"/>
          <w:sz w:val="18"/>
          <w:szCs w:val="18"/>
        </w:rPr>
        <w:tab/>
      </w:r>
      <w:r w:rsidRPr="0004522E">
        <w:rPr>
          <w:rFonts w:ascii="Arial" w:hAnsi="Arial" w:cs="Arial"/>
          <w:sz w:val="18"/>
          <w:szCs w:val="18"/>
        </w:rPr>
        <w:tab/>
        <w:t>&lt;</w:t>
      </w:r>
      <w:hyperlink r:id="rId92" w:history="1">
        <w:r w:rsidRPr="0004522E">
          <w:rPr>
            <w:rStyle w:val="Hyperlink"/>
            <w:rFonts w:ascii="Arial" w:hAnsi="Arial" w:cs="Arial"/>
            <w:color w:val="auto"/>
            <w:sz w:val="18"/>
            <w:szCs w:val="18"/>
          </w:rPr>
          <w:t>http://www.epa.gov/owow_keep/NPS/chesbay502/</w:t>
        </w:r>
      </w:hyperlink>
      <w:r w:rsidRPr="0004522E">
        <w:rPr>
          <w:rFonts w:ascii="Arial" w:hAnsi="Arial" w:cs="Arial"/>
          <w:sz w:val="18"/>
          <w:szCs w:val="18"/>
        </w:rPr>
        <w:t>&gt;.</w:t>
      </w:r>
    </w:p>
  </w:endnote>
  <w:endnote w:id="84">
    <w:p w:rsidR="00E659D3" w:rsidRPr="0004522E" w:rsidRDefault="00E659D3" w:rsidP="0004522E">
      <w:pPr>
        <w:pStyle w:val="EndnoteText"/>
        <w:tabs>
          <w:tab w:val="left" w:pos="270"/>
        </w:tabs>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New York State Department of Environmental Conservation. (2010).  </w:t>
      </w:r>
      <w:r w:rsidRPr="0004522E">
        <w:rPr>
          <w:rFonts w:ascii="Arial" w:hAnsi="Arial" w:cs="Arial"/>
          <w:i/>
          <w:iCs/>
          <w:sz w:val="18"/>
          <w:szCs w:val="18"/>
        </w:rPr>
        <w:t>New York State Stormwater Management Design    Manual</w:t>
      </w:r>
      <w:r w:rsidRPr="0004522E">
        <w:rPr>
          <w:rFonts w:ascii="Arial" w:hAnsi="Arial" w:cs="Arial"/>
          <w:sz w:val="18"/>
          <w:szCs w:val="18"/>
        </w:rPr>
        <w:t>. 642 pp. Available at</w:t>
      </w:r>
      <w:r>
        <w:rPr>
          <w:rFonts w:ascii="Arial" w:hAnsi="Arial" w:cs="Arial"/>
          <w:sz w:val="18"/>
          <w:szCs w:val="18"/>
        </w:rPr>
        <w:t>:</w:t>
      </w:r>
      <w:r w:rsidRPr="0004522E">
        <w:rPr>
          <w:rFonts w:ascii="Arial" w:hAnsi="Arial" w:cs="Arial"/>
          <w:sz w:val="18"/>
          <w:szCs w:val="18"/>
        </w:rPr>
        <w:t xml:space="preserve"> &lt;</w:t>
      </w:r>
      <w:hyperlink r:id="rId93" w:history="1">
        <w:r w:rsidRPr="0004522E">
          <w:rPr>
            <w:rStyle w:val="Hyperlink"/>
            <w:rFonts w:ascii="Arial" w:hAnsi="Arial" w:cs="Arial"/>
            <w:color w:val="auto"/>
            <w:sz w:val="18"/>
            <w:szCs w:val="18"/>
          </w:rPr>
          <w:t>http://www.dec.ny.gov/chemical/29072.html</w:t>
        </w:r>
      </w:hyperlink>
      <w:r w:rsidRPr="0004522E">
        <w:rPr>
          <w:rFonts w:ascii="Arial" w:hAnsi="Arial" w:cs="Arial"/>
          <w:sz w:val="18"/>
          <w:szCs w:val="18"/>
        </w:rPr>
        <w:t>&gt;.</w:t>
      </w:r>
    </w:p>
  </w:endnote>
  <w:endnote w:id="85">
    <w:p w:rsidR="00E659D3" w:rsidRPr="0004522E" w:rsidRDefault="00E659D3" w:rsidP="0004522E">
      <w:pPr>
        <w:tabs>
          <w:tab w:val="left" w:pos="270"/>
        </w:tabs>
        <w:autoSpaceDE w:val="0"/>
        <w:autoSpaceDN w:val="0"/>
        <w:adjustRightInd w:val="0"/>
        <w:ind w:left="360" w:hanging="360"/>
        <w:rPr>
          <w:rFonts w:cs="Arial"/>
          <w:i/>
          <w:sz w:val="18"/>
          <w:szCs w:val="18"/>
        </w:rPr>
      </w:pPr>
      <w:r w:rsidRPr="0004522E">
        <w:rPr>
          <w:rStyle w:val="EndnoteReference"/>
          <w:rFonts w:cs="Arial"/>
          <w:sz w:val="18"/>
          <w:szCs w:val="18"/>
        </w:rPr>
        <w:endnoteRef/>
      </w:r>
      <w:r w:rsidRPr="0004522E">
        <w:rPr>
          <w:rFonts w:cs="Arial"/>
          <w:sz w:val="18"/>
          <w:szCs w:val="18"/>
        </w:rPr>
        <w:t xml:space="preserve"> Water Use and Conservation Bureau, New Mexico Office of the State Engineer.  </w:t>
      </w:r>
      <w:r w:rsidRPr="0004522E">
        <w:rPr>
          <w:rFonts w:cs="Arial"/>
          <w:i/>
          <w:sz w:val="18"/>
          <w:szCs w:val="18"/>
        </w:rPr>
        <w:t>A Waterwise</w:t>
      </w:r>
    </w:p>
    <w:p w:rsidR="00E659D3" w:rsidRPr="0004522E" w:rsidRDefault="00E659D3" w:rsidP="0004522E">
      <w:pPr>
        <w:pStyle w:val="EndnoteText"/>
        <w:tabs>
          <w:tab w:val="left" w:pos="270"/>
        </w:tabs>
        <w:ind w:left="360" w:hanging="360"/>
        <w:rPr>
          <w:rFonts w:ascii="Arial" w:hAnsi="Arial" w:cs="Arial"/>
          <w:sz w:val="18"/>
          <w:szCs w:val="18"/>
        </w:rPr>
      </w:pPr>
      <w:r w:rsidRPr="0004522E">
        <w:rPr>
          <w:rFonts w:ascii="Arial" w:hAnsi="Arial" w:cs="Arial"/>
          <w:i/>
          <w:sz w:val="18"/>
          <w:szCs w:val="18"/>
        </w:rPr>
        <w:tab/>
      </w:r>
      <w:r w:rsidRPr="0004522E">
        <w:rPr>
          <w:rFonts w:ascii="Arial" w:hAnsi="Arial" w:cs="Arial"/>
          <w:i/>
          <w:sz w:val="18"/>
          <w:szCs w:val="18"/>
        </w:rPr>
        <w:tab/>
        <w:t>Guide to Rainwater Harvesting</w:t>
      </w:r>
      <w:r w:rsidRPr="0004522E">
        <w:rPr>
          <w:rFonts w:ascii="Arial" w:hAnsi="Arial" w:cs="Arial"/>
          <w:sz w:val="18"/>
          <w:szCs w:val="18"/>
        </w:rPr>
        <w:t>.  &lt;</w:t>
      </w:r>
      <w:hyperlink r:id="rId94" w:history="1">
        <w:r w:rsidRPr="0004522E">
          <w:rPr>
            <w:rStyle w:val="Hyperlink"/>
            <w:rFonts w:ascii="Arial" w:hAnsi="Arial" w:cs="Arial"/>
            <w:color w:val="auto"/>
            <w:sz w:val="18"/>
            <w:szCs w:val="18"/>
          </w:rPr>
          <w:t>http://www.ose.state.nm.us/water-info/conservation/rainwater-harvesting.pdf</w:t>
        </w:r>
      </w:hyperlink>
      <w:r w:rsidRPr="0004522E">
        <w:rPr>
          <w:rFonts w:ascii="Arial" w:hAnsi="Arial" w:cs="Arial"/>
          <w:sz w:val="18"/>
          <w:szCs w:val="18"/>
        </w:rPr>
        <w:t xml:space="preserve">&gt;. As cited in Plumb, M. (2008). </w:t>
      </w:r>
      <w:r w:rsidRPr="0004522E">
        <w:rPr>
          <w:rFonts w:ascii="Arial" w:hAnsi="Arial" w:cs="Arial"/>
          <w:i/>
          <w:sz w:val="18"/>
          <w:szCs w:val="18"/>
        </w:rPr>
        <w:t xml:space="preserve">Sustainable Raindrops: Cleaning New York Harbor by Greening the Urban Landscape.  </w:t>
      </w:r>
      <w:r w:rsidRPr="0004522E">
        <w:rPr>
          <w:rFonts w:ascii="Arial" w:hAnsi="Arial" w:cs="Arial"/>
          <w:sz w:val="18"/>
          <w:szCs w:val="18"/>
        </w:rPr>
        <w:t xml:space="preserve">40 pp.  Available at: </w:t>
      </w:r>
    </w:p>
    <w:p w:rsidR="00E659D3" w:rsidRPr="0004522E" w:rsidRDefault="00E659D3" w:rsidP="0004522E">
      <w:pPr>
        <w:pStyle w:val="EndnoteText"/>
        <w:tabs>
          <w:tab w:val="left" w:pos="270"/>
        </w:tabs>
        <w:ind w:left="360" w:hanging="360"/>
        <w:rPr>
          <w:rFonts w:ascii="Arial" w:hAnsi="Arial" w:cs="Arial"/>
          <w:sz w:val="18"/>
          <w:szCs w:val="18"/>
        </w:rPr>
      </w:pPr>
      <w:r w:rsidRPr="0004522E">
        <w:rPr>
          <w:rFonts w:ascii="Arial" w:hAnsi="Arial" w:cs="Arial"/>
          <w:sz w:val="18"/>
          <w:szCs w:val="18"/>
        </w:rPr>
        <w:tab/>
      </w:r>
      <w:r w:rsidRPr="0004522E">
        <w:rPr>
          <w:rFonts w:ascii="Arial" w:hAnsi="Arial" w:cs="Arial"/>
          <w:sz w:val="18"/>
          <w:szCs w:val="18"/>
        </w:rPr>
        <w:tab/>
        <w:t xml:space="preserve">&lt; </w:t>
      </w:r>
      <w:hyperlink r:id="rId95" w:history="1">
        <w:r w:rsidRPr="0004522E">
          <w:rPr>
            <w:rStyle w:val="Hyperlink"/>
            <w:rFonts w:ascii="Arial" w:hAnsi="Arial" w:cs="Arial"/>
            <w:color w:val="auto"/>
            <w:sz w:val="18"/>
            <w:szCs w:val="18"/>
          </w:rPr>
          <w:t>http://www.riverkeeper.org/wp-content/uploads/2009/06/Sustainable-Raindrops-Report-1-8-08.pdf</w:t>
        </w:r>
      </w:hyperlink>
      <w:r w:rsidRPr="0004522E">
        <w:rPr>
          <w:rFonts w:ascii="Arial" w:hAnsi="Arial" w:cs="Arial"/>
          <w:sz w:val="18"/>
          <w:szCs w:val="18"/>
        </w:rPr>
        <w:t>&gt;</w:t>
      </w:r>
      <w:r w:rsidRPr="0004522E">
        <w:rPr>
          <w:rFonts w:ascii="Arial" w:hAnsi="Arial" w:cs="Arial"/>
          <w:i/>
          <w:sz w:val="18"/>
          <w:szCs w:val="18"/>
        </w:rPr>
        <w:t>.</w:t>
      </w:r>
    </w:p>
  </w:endnote>
  <w:endnote w:id="86">
    <w:p w:rsidR="00E659D3" w:rsidRPr="0004522E" w:rsidRDefault="00E659D3" w:rsidP="0004522E">
      <w:pPr>
        <w:tabs>
          <w:tab w:val="left" w:pos="270"/>
        </w:tabs>
        <w:ind w:left="360" w:hanging="360"/>
        <w:rPr>
          <w:rFonts w:cs="Arial"/>
          <w:sz w:val="18"/>
          <w:szCs w:val="18"/>
        </w:rPr>
      </w:pPr>
      <w:r w:rsidRPr="0004522E">
        <w:rPr>
          <w:rStyle w:val="EndnoteReference"/>
          <w:rFonts w:cs="Arial"/>
          <w:sz w:val="18"/>
          <w:szCs w:val="18"/>
        </w:rPr>
        <w:endnoteRef/>
      </w:r>
      <w:r w:rsidRPr="0004522E">
        <w:rPr>
          <w:rFonts w:cs="Arial"/>
          <w:sz w:val="18"/>
          <w:szCs w:val="18"/>
        </w:rPr>
        <w:t xml:space="preserve"> New York State Department of Environmental Conservation. (2010).  </w:t>
      </w:r>
      <w:r w:rsidRPr="0004522E">
        <w:rPr>
          <w:rFonts w:cs="Arial"/>
          <w:i/>
          <w:iCs/>
          <w:sz w:val="18"/>
          <w:szCs w:val="18"/>
        </w:rPr>
        <w:t>New York State Stormwater Management Design Manual</w:t>
      </w:r>
      <w:r w:rsidRPr="0004522E">
        <w:rPr>
          <w:rFonts w:cs="Arial"/>
          <w:sz w:val="18"/>
          <w:szCs w:val="18"/>
        </w:rPr>
        <w:t>. 642 pp. Available at</w:t>
      </w:r>
      <w:r>
        <w:rPr>
          <w:rFonts w:cs="Arial"/>
          <w:sz w:val="18"/>
          <w:szCs w:val="18"/>
        </w:rPr>
        <w:t>:</w:t>
      </w:r>
      <w:r w:rsidRPr="0004522E">
        <w:rPr>
          <w:rFonts w:cs="Arial"/>
          <w:sz w:val="18"/>
          <w:szCs w:val="18"/>
        </w:rPr>
        <w:t xml:space="preserve"> &lt;</w:t>
      </w:r>
      <w:hyperlink r:id="rId96" w:history="1">
        <w:r w:rsidRPr="0004522E">
          <w:rPr>
            <w:rStyle w:val="Hyperlink"/>
            <w:rFonts w:cs="Arial"/>
            <w:color w:val="auto"/>
            <w:sz w:val="18"/>
            <w:szCs w:val="18"/>
          </w:rPr>
          <w:t>http://www.dec.ny.gov/chemical/29072.html</w:t>
        </w:r>
      </w:hyperlink>
      <w:r w:rsidRPr="0004522E">
        <w:rPr>
          <w:rFonts w:cs="Arial"/>
          <w:sz w:val="18"/>
          <w:szCs w:val="18"/>
        </w:rPr>
        <w:t>&gt;.</w:t>
      </w:r>
    </w:p>
  </w:endnote>
  <w:endnote w:id="87">
    <w:p w:rsidR="00E659D3" w:rsidRPr="0004522E" w:rsidRDefault="00E659D3" w:rsidP="0004522E">
      <w:pPr>
        <w:pStyle w:val="EndnoteText"/>
        <w:tabs>
          <w:tab w:val="left" w:pos="270"/>
        </w:tabs>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Plumb, M. (2008). </w:t>
      </w:r>
      <w:r w:rsidRPr="0004522E">
        <w:rPr>
          <w:rFonts w:ascii="Arial" w:hAnsi="Arial" w:cs="Arial"/>
          <w:i/>
          <w:sz w:val="18"/>
          <w:szCs w:val="18"/>
        </w:rPr>
        <w:t xml:space="preserve">Sustainable Raindrops: Cleaning New York Harbor by Greening the Urban Landscape.  </w:t>
      </w:r>
      <w:r w:rsidRPr="0004522E">
        <w:rPr>
          <w:rFonts w:ascii="Arial" w:hAnsi="Arial" w:cs="Arial"/>
          <w:sz w:val="18"/>
          <w:szCs w:val="18"/>
        </w:rPr>
        <w:t xml:space="preserve">40 pp.  Available at: </w:t>
      </w:r>
    </w:p>
    <w:p w:rsidR="00E659D3" w:rsidRPr="0004522E" w:rsidRDefault="00E659D3" w:rsidP="0004522E">
      <w:pPr>
        <w:pStyle w:val="EndnoteText"/>
        <w:tabs>
          <w:tab w:val="left" w:pos="270"/>
        </w:tabs>
        <w:ind w:left="360" w:hanging="360"/>
        <w:rPr>
          <w:rFonts w:ascii="Arial" w:hAnsi="Arial" w:cs="Arial"/>
          <w:sz w:val="18"/>
          <w:szCs w:val="18"/>
        </w:rPr>
      </w:pPr>
      <w:r w:rsidRPr="0004522E">
        <w:rPr>
          <w:rFonts w:ascii="Arial" w:hAnsi="Arial" w:cs="Arial"/>
          <w:sz w:val="18"/>
          <w:szCs w:val="18"/>
        </w:rPr>
        <w:tab/>
      </w:r>
      <w:r w:rsidRPr="0004522E">
        <w:rPr>
          <w:rFonts w:ascii="Arial" w:hAnsi="Arial" w:cs="Arial"/>
          <w:sz w:val="18"/>
          <w:szCs w:val="18"/>
        </w:rPr>
        <w:tab/>
        <w:t>&lt; http</w:t>
      </w:r>
      <w:r w:rsidRPr="0004522E">
        <w:rPr>
          <w:rFonts w:ascii="Arial" w:hAnsi="Arial" w:cs="Arial"/>
          <w:sz w:val="18"/>
          <w:szCs w:val="18"/>
          <w:u w:val="single"/>
        </w:rPr>
        <w:t>://www.riverkeeper.org/wp-content/uploads/2009/06/Sustainable-Raindrops-Report-1-8-08.pdf</w:t>
      </w:r>
      <w:r w:rsidRPr="0004522E">
        <w:rPr>
          <w:rFonts w:ascii="Arial" w:hAnsi="Arial" w:cs="Arial"/>
          <w:sz w:val="18"/>
          <w:szCs w:val="18"/>
        </w:rPr>
        <w:t>&gt;.</w:t>
      </w:r>
    </w:p>
  </w:endnote>
  <w:endnote w:id="88">
    <w:p w:rsidR="00E659D3" w:rsidRPr="0004522E" w:rsidRDefault="00E659D3" w:rsidP="0004522E">
      <w:pPr>
        <w:pStyle w:val="EndnoteText"/>
        <w:tabs>
          <w:tab w:val="left" w:pos="270"/>
        </w:tabs>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New York State Department of Environmental Conservation. (2010).  </w:t>
      </w:r>
      <w:r w:rsidRPr="0004522E">
        <w:rPr>
          <w:rFonts w:ascii="Arial" w:hAnsi="Arial" w:cs="Arial"/>
          <w:i/>
          <w:iCs/>
          <w:sz w:val="18"/>
          <w:szCs w:val="18"/>
        </w:rPr>
        <w:t>New York State Stormwater Management Design    Manual</w:t>
      </w:r>
      <w:r w:rsidRPr="0004522E">
        <w:rPr>
          <w:rFonts w:ascii="Arial" w:hAnsi="Arial" w:cs="Arial"/>
          <w:sz w:val="18"/>
          <w:szCs w:val="18"/>
        </w:rPr>
        <w:t>. 642 pp. Available at</w:t>
      </w:r>
      <w:r>
        <w:rPr>
          <w:rFonts w:ascii="Arial" w:hAnsi="Arial" w:cs="Arial"/>
          <w:sz w:val="18"/>
          <w:szCs w:val="18"/>
        </w:rPr>
        <w:t>:</w:t>
      </w:r>
      <w:r w:rsidRPr="0004522E">
        <w:rPr>
          <w:rFonts w:ascii="Arial" w:hAnsi="Arial" w:cs="Arial"/>
          <w:sz w:val="18"/>
          <w:szCs w:val="18"/>
        </w:rPr>
        <w:t xml:space="preserve"> &lt;</w:t>
      </w:r>
      <w:hyperlink r:id="rId97" w:history="1">
        <w:r w:rsidRPr="0004522E">
          <w:rPr>
            <w:rStyle w:val="Hyperlink"/>
            <w:rFonts w:ascii="Arial" w:hAnsi="Arial" w:cs="Arial"/>
            <w:color w:val="auto"/>
            <w:sz w:val="18"/>
            <w:szCs w:val="18"/>
          </w:rPr>
          <w:t>http://www.dec.ny.gov/chemical/29072.html</w:t>
        </w:r>
      </w:hyperlink>
      <w:r w:rsidRPr="0004522E">
        <w:rPr>
          <w:rFonts w:ascii="Arial" w:hAnsi="Arial" w:cs="Arial"/>
          <w:sz w:val="18"/>
          <w:szCs w:val="18"/>
        </w:rPr>
        <w:t>&gt;.</w:t>
      </w:r>
    </w:p>
  </w:endnote>
  <w:endnote w:id="89">
    <w:p w:rsidR="00E659D3" w:rsidRPr="0004522E" w:rsidRDefault="00E659D3" w:rsidP="0004522E">
      <w:pPr>
        <w:pStyle w:val="EndnoteText"/>
        <w:tabs>
          <w:tab w:val="left" w:pos="270"/>
        </w:tabs>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New York State Department of Environmental Conservation. (2010).  </w:t>
      </w:r>
      <w:r w:rsidRPr="0004522E">
        <w:rPr>
          <w:rFonts w:ascii="Arial" w:hAnsi="Arial" w:cs="Arial"/>
          <w:i/>
          <w:iCs/>
          <w:sz w:val="18"/>
          <w:szCs w:val="18"/>
        </w:rPr>
        <w:t>New York State Stormwater Management Design    Manual</w:t>
      </w:r>
      <w:r w:rsidRPr="0004522E">
        <w:rPr>
          <w:rFonts w:ascii="Arial" w:hAnsi="Arial" w:cs="Arial"/>
          <w:sz w:val="18"/>
          <w:szCs w:val="18"/>
        </w:rPr>
        <w:t>. 642 pp. Available at</w:t>
      </w:r>
      <w:r>
        <w:rPr>
          <w:rFonts w:ascii="Arial" w:hAnsi="Arial" w:cs="Arial"/>
          <w:sz w:val="18"/>
          <w:szCs w:val="18"/>
        </w:rPr>
        <w:t>:</w:t>
      </w:r>
      <w:r w:rsidRPr="0004522E">
        <w:rPr>
          <w:rFonts w:ascii="Arial" w:hAnsi="Arial" w:cs="Arial"/>
          <w:sz w:val="18"/>
          <w:szCs w:val="18"/>
        </w:rPr>
        <w:t xml:space="preserve"> &lt;</w:t>
      </w:r>
      <w:hyperlink r:id="rId98" w:history="1">
        <w:r w:rsidRPr="0004522E">
          <w:rPr>
            <w:rStyle w:val="Hyperlink"/>
            <w:rFonts w:ascii="Arial" w:hAnsi="Arial" w:cs="Arial"/>
            <w:color w:val="auto"/>
            <w:sz w:val="18"/>
            <w:szCs w:val="18"/>
          </w:rPr>
          <w:t>http://www.dec.ny.gov/chemical/29072.html</w:t>
        </w:r>
      </w:hyperlink>
      <w:r w:rsidRPr="0004522E">
        <w:rPr>
          <w:rFonts w:ascii="Arial" w:hAnsi="Arial" w:cs="Arial"/>
          <w:sz w:val="18"/>
          <w:szCs w:val="18"/>
        </w:rPr>
        <w:t>&gt;.</w:t>
      </w:r>
    </w:p>
  </w:endnote>
  <w:endnote w:id="90">
    <w:p w:rsidR="00E659D3" w:rsidRPr="0004522E" w:rsidRDefault="00E659D3" w:rsidP="0004522E">
      <w:pPr>
        <w:pStyle w:val="EndnoteText"/>
        <w:tabs>
          <w:tab w:val="left" w:pos="270"/>
        </w:tabs>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New York State Department of Environmental Conservation. (2010).  </w:t>
      </w:r>
      <w:r w:rsidRPr="0004522E">
        <w:rPr>
          <w:rFonts w:ascii="Arial" w:hAnsi="Arial" w:cs="Arial"/>
          <w:i/>
          <w:iCs/>
          <w:sz w:val="18"/>
          <w:szCs w:val="18"/>
        </w:rPr>
        <w:t>New York State Stormwater Management Design    Manual</w:t>
      </w:r>
      <w:r w:rsidRPr="0004522E">
        <w:rPr>
          <w:rFonts w:ascii="Arial" w:hAnsi="Arial" w:cs="Arial"/>
          <w:sz w:val="18"/>
          <w:szCs w:val="18"/>
        </w:rPr>
        <w:t>. 642 pp. Available at</w:t>
      </w:r>
      <w:r>
        <w:rPr>
          <w:rFonts w:ascii="Arial" w:hAnsi="Arial" w:cs="Arial"/>
          <w:sz w:val="18"/>
          <w:szCs w:val="18"/>
        </w:rPr>
        <w:t>:</w:t>
      </w:r>
      <w:r w:rsidRPr="0004522E">
        <w:rPr>
          <w:rFonts w:ascii="Arial" w:hAnsi="Arial" w:cs="Arial"/>
          <w:sz w:val="18"/>
          <w:szCs w:val="18"/>
        </w:rPr>
        <w:t xml:space="preserve"> &lt;</w:t>
      </w:r>
      <w:hyperlink r:id="rId99" w:history="1">
        <w:r w:rsidRPr="0004522E">
          <w:rPr>
            <w:rStyle w:val="Hyperlink"/>
            <w:rFonts w:ascii="Arial" w:hAnsi="Arial" w:cs="Arial"/>
            <w:color w:val="auto"/>
            <w:sz w:val="18"/>
            <w:szCs w:val="18"/>
          </w:rPr>
          <w:t>http://www.dec.ny.gov/chemical/29072.html</w:t>
        </w:r>
      </w:hyperlink>
      <w:r w:rsidRPr="0004522E">
        <w:rPr>
          <w:rFonts w:ascii="Arial" w:hAnsi="Arial" w:cs="Arial"/>
          <w:sz w:val="18"/>
          <w:szCs w:val="18"/>
        </w:rPr>
        <w:t>&gt;.</w:t>
      </w:r>
    </w:p>
  </w:endnote>
  <w:endnote w:id="91">
    <w:p w:rsidR="00E659D3" w:rsidRPr="0004522E" w:rsidRDefault="00E659D3" w:rsidP="0004522E">
      <w:pPr>
        <w:tabs>
          <w:tab w:val="left" w:pos="270"/>
        </w:tabs>
        <w:autoSpaceDE w:val="0"/>
        <w:autoSpaceDN w:val="0"/>
        <w:adjustRightInd w:val="0"/>
        <w:ind w:left="360" w:hanging="360"/>
        <w:rPr>
          <w:rFonts w:cs="Arial"/>
          <w:sz w:val="18"/>
          <w:szCs w:val="18"/>
        </w:rPr>
      </w:pPr>
      <w:r w:rsidRPr="0004522E">
        <w:rPr>
          <w:rStyle w:val="EndnoteReference"/>
          <w:rFonts w:cs="Arial"/>
          <w:sz w:val="18"/>
          <w:szCs w:val="18"/>
        </w:rPr>
        <w:endnoteRef/>
      </w:r>
      <w:r w:rsidRPr="0004522E">
        <w:rPr>
          <w:rFonts w:cs="Arial"/>
          <w:sz w:val="18"/>
          <w:szCs w:val="18"/>
        </w:rPr>
        <w:t xml:space="preserve"> Metropolitan Council, (2001). </w:t>
      </w:r>
      <w:r w:rsidRPr="0004522E">
        <w:rPr>
          <w:rFonts w:cs="Arial"/>
          <w:i/>
          <w:sz w:val="18"/>
          <w:szCs w:val="18"/>
        </w:rPr>
        <w:t>Minnesota Urban Small Sites Best Management Practices (BMP) Manual</w:t>
      </w:r>
      <w:r>
        <w:rPr>
          <w:rFonts w:cs="Arial"/>
          <w:sz w:val="18"/>
          <w:szCs w:val="18"/>
        </w:rPr>
        <w:t xml:space="preserve">. Prepared for </w:t>
      </w:r>
      <w:r w:rsidRPr="0004522E">
        <w:rPr>
          <w:rFonts w:cs="Arial"/>
          <w:sz w:val="18"/>
          <w:szCs w:val="18"/>
        </w:rPr>
        <w:t>Metropolitan Council.  14 pp.  Available at</w:t>
      </w:r>
      <w:r>
        <w:rPr>
          <w:rFonts w:cs="Arial"/>
          <w:sz w:val="18"/>
          <w:szCs w:val="18"/>
        </w:rPr>
        <w:t>:</w:t>
      </w:r>
      <w:r w:rsidRPr="0004522E">
        <w:rPr>
          <w:rFonts w:cs="Arial"/>
          <w:sz w:val="18"/>
          <w:szCs w:val="18"/>
        </w:rPr>
        <w:t xml:space="preserve"> &lt;</w:t>
      </w:r>
      <w:hyperlink r:id="rId100" w:history="1">
        <w:r w:rsidRPr="0004522E">
          <w:rPr>
            <w:rStyle w:val="Hyperlink"/>
            <w:rFonts w:cs="Arial"/>
            <w:color w:val="auto"/>
            <w:sz w:val="18"/>
            <w:szCs w:val="18"/>
          </w:rPr>
          <w:t>http://www.metrocouncil.org/environment/watershed/BMP/CH3_STInfilOnLot.pdf</w:t>
        </w:r>
      </w:hyperlink>
      <w:r w:rsidRPr="0004522E">
        <w:rPr>
          <w:rFonts w:cs="Arial"/>
          <w:sz w:val="18"/>
          <w:szCs w:val="18"/>
        </w:rPr>
        <w:t>&gt;.</w:t>
      </w:r>
    </w:p>
  </w:endnote>
  <w:endnote w:id="92">
    <w:p w:rsidR="00E659D3" w:rsidRPr="0004522E" w:rsidRDefault="00E659D3" w:rsidP="0004522E">
      <w:pPr>
        <w:tabs>
          <w:tab w:val="left" w:pos="270"/>
        </w:tabs>
        <w:autoSpaceDE w:val="0"/>
        <w:autoSpaceDN w:val="0"/>
        <w:adjustRightInd w:val="0"/>
        <w:ind w:left="360" w:hanging="360"/>
        <w:rPr>
          <w:rFonts w:cs="Arial"/>
          <w:i/>
          <w:sz w:val="18"/>
          <w:szCs w:val="18"/>
        </w:rPr>
      </w:pPr>
      <w:r w:rsidRPr="0004522E">
        <w:rPr>
          <w:rStyle w:val="EndnoteReference"/>
          <w:rFonts w:cs="Arial"/>
          <w:sz w:val="18"/>
          <w:szCs w:val="18"/>
        </w:rPr>
        <w:endnoteRef/>
      </w:r>
      <w:r w:rsidRPr="0004522E">
        <w:rPr>
          <w:rFonts w:cs="Arial"/>
          <w:sz w:val="18"/>
          <w:szCs w:val="18"/>
        </w:rPr>
        <w:t xml:space="preserve"> Karen Sands and T. Chapman, Milwaukee Metropolitan Sewerage District, Milwaukee, Wisconsin</w:t>
      </w:r>
      <w:r w:rsidRPr="0004522E">
        <w:rPr>
          <w:rFonts w:cs="Arial"/>
          <w:i/>
          <w:sz w:val="18"/>
          <w:szCs w:val="18"/>
        </w:rPr>
        <w:t xml:space="preserve">. </w:t>
      </w:r>
      <w:r w:rsidRPr="0004522E">
        <w:rPr>
          <w:rFonts w:cs="Arial"/>
          <w:sz w:val="18"/>
          <w:szCs w:val="18"/>
        </w:rPr>
        <w:t>(2003).</w:t>
      </w:r>
      <w:r>
        <w:rPr>
          <w:rFonts w:cs="Arial"/>
          <w:i/>
          <w:sz w:val="18"/>
          <w:szCs w:val="18"/>
        </w:rPr>
        <w:t xml:space="preserve"> Rain Barrels –</w:t>
      </w:r>
      <w:r w:rsidRPr="0004522E">
        <w:rPr>
          <w:rFonts w:cs="Arial"/>
          <w:i/>
          <w:sz w:val="18"/>
          <w:szCs w:val="18"/>
        </w:rPr>
        <w:t>Truth or Consequences</w:t>
      </w:r>
      <w:r w:rsidRPr="0004522E">
        <w:rPr>
          <w:rFonts w:cs="Arial"/>
          <w:sz w:val="18"/>
          <w:szCs w:val="18"/>
        </w:rPr>
        <w:t>, presented at USEPA National Conference on Urban Stormwater: Enhancing Programs at the Local</w:t>
      </w:r>
      <w:r>
        <w:rPr>
          <w:rFonts w:cs="Arial"/>
          <w:i/>
          <w:sz w:val="18"/>
          <w:szCs w:val="18"/>
        </w:rPr>
        <w:t xml:space="preserve"> </w:t>
      </w:r>
      <w:r>
        <w:rPr>
          <w:rFonts w:cs="Arial"/>
          <w:sz w:val="18"/>
          <w:szCs w:val="18"/>
        </w:rPr>
        <w:t xml:space="preserve">Level. p. 390-395. Available </w:t>
      </w:r>
      <w:r w:rsidRPr="0004522E">
        <w:rPr>
          <w:rFonts w:cs="Arial"/>
          <w:sz w:val="18"/>
          <w:szCs w:val="18"/>
        </w:rPr>
        <w:t>at</w:t>
      </w:r>
      <w:r>
        <w:rPr>
          <w:rFonts w:cs="Arial"/>
          <w:sz w:val="18"/>
          <w:szCs w:val="18"/>
        </w:rPr>
        <w:t xml:space="preserve">: </w:t>
      </w:r>
      <w:r w:rsidRPr="0004522E">
        <w:rPr>
          <w:rFonts w:cs="Arial"/>
          <w:sz w:val="18"/>
          <w:szCs w:val="18"/>
        </w:rPr>
        <w:t>&lt;</w:t>
      </w:r>
      <w:r w:rsidRPr="0004522E">
        <w:rPr>
          <w:rFonts w:cs="Arial"/>
          <w:sz w:val="18"/>
          <w:szCs w:val="18"/>
          <w:u w:val="single"/>
        </w:rPr>
        <w:t>http://www.epa.gov/owow/nps/natlstormwater03/fullreport.pdf</w:t>
      </w:r>
      <w:r w:rsidRPr="0004522E">
        <w:rPr>
          <w:rFonts w:cs="Arial"/>
          <w:sz w:val="18"/>
          <w:szCs w:val="18"/>
        </w:rPr>
        <w:t xml:space="preserve">&gt;. As cited in Plumb, M. (2008). </w:t>
      </w:r>
      <w:r w:rsidRPr="0004522E">
        <w:rPr>
          <w:rFonts w:cs="Arial"/>
          <w:i/>
          <w:sz w:val="18"/>
          <w:szCs w:val="18"/>
        </w:rPr>
        <w:t xml:space="preserve">Sustainable Raindrops: Cleaning New York Harbor by Greening the Urban Landscape.  </w:t>
      </w:r>
      <w:r w:rsidRPr="0004522E">
        <w:rPr>
          <w:rFonts w:cs="Arial"/>
          <w:sz w:val="18"/>
          <w:szCs w:val="18"/>
        </w:rPr>
        <w:t xml:space="preserve">40 pp.  Available at: </w:t>
      </w:r>
    </w:p>
    <w:p w:rsidR="00E659D3" w:rsidRPr="0004522E" w:rsidRDefault="00E659D3" w:rsidP="0004522E">
      <w:pPr>
        <w:pStyle w:val="EndnoteText"/>
        <w:tabs>
          <w:tab w:val="left" w:pos="270"/>
        </w:tabs>
        <w:ind w:left="360" w:hanging="360"/>
        <w:rPr>
          <w:rFonts w:ascii="Arial" w:hAnsi="Arial" w:cs="Arial"/>
          <w:sz w:val="18"/>
          <w:szCs w:val="18"/>
        </w:rPr>
      </w:pPr>
      <w:r w:rsidRPr="0004522E">
        <w:rPr>
          <w:rFonts w:ascii="Arial" w:hAnsi="Arial" w:cs="Arial"/>
          <w:sz w:val="18"/>
          <w:szCs w:val="18"/>
        </w:rPr>
        <w:tab/>
      </w:r>
      <w:r w:rsidRPr="0004522E">
        <w:rPr>
          <w:rFonts w:ascii="Arial" w:hAnsi="Arial" w:cs="Arial"/>
          <w:sz w:val="18"/>
          <w:szCs w:val="18"/>
        </w:rPr>
        <w:tab/>
        <w:t xml:space="preserve">&lt; </w:t>
      </w:r>
      <w:hyperlink r:id="rId101" w:history="1">
        <w:r w:rsidRPr="0004522E">
          <w:rPr>
            <w:rStyle w:val="Hyperlink"/>
            <w:rFonts w:ascii="Arial" w:hAnsi="Arial" w:cs="Arial"/>
            <w:color w:val="auto"/>
            <w:sz w:val="18"/>
            <w:szCs w:val="18"/>
          </w:rPr>
          <w:t>http://www.riverkeeper.org/wp-content/uploads/2009/06/Sustainable-Raindrops-Report-1-8-08.pdf</w:t>
        </w:r>
      </w:hyperlink>
      <w:r w:rsidRPr="0004522E">
        <w:rPr>
          <w:rFonts w:ascii="Arial" w:hAnsi="Arial" w:cs="Arial"/>
          <w:sz w:val="18"/>
          <w:szCs w:val="18"/>
        </w:rPr>
        <w:t>&gt;</w:t>
      </w:r>
      <w:r w:rsidRPr="0004522E">
        <w:rPr>
          <w:rFonts w:ascii="Arial" w:hAnsi="Arial" w:cs="Arial"/>
          <w:i/>
          <w:sz w:val="18"/>
          <w:szCs w:val="18"/>
        </w:rPr>
        <w:t>.</w:t>
      </w:r>
    </w:p>
  </w:endnote>
  <w:endnote w:id="93">
    <w:p w:rsidR="00E659D3" w:rsidRPr="0004522E" w:rsidRDefault="00E659D3" w:rsidP="0004522E">
      <w:pPr>
        <w:pStyle w:val="EndnoteText"/>
        <w:tabs>
          <w:tab w:val="left" w:pos="270"/>
        </w:tabs>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Urban Design Tools: Low Impact Development.  </w:t>
      </w:r>
      <w:r w:rsidRPr="0004522E">
        <w:rPr>
          <w:rFonts w:ascii="Arial" w:hAnsi="Arial" w:cs="Arial"/>
          <w:i/>
          <w:sz w:val="18"/>
          <w:szCs w:val="18"/>
        </w:rPr>
        <w:t xml:space="preserve">Rain Barrels and Cisterns.  </w:t>
      </w:r>
      <w:r w:rsidRPr="0004522E">
        <w:rPr>
          <w:rFonts w:ascii="Arial" w:hAnsi="Arial" w:cs="Arial"/>
          <w:sz w:val="18"/>
          <w:szCs w:val="18"/>
        </w:rPr>
        <w:t>Available at</w:t>
      </w:r>
      <w:r>
        <w:rPr>
          <w:rFonts w:ascii="Arial" w:hAnsi="Arial" w:cs="Arial"/>
          <w:sz w:val="18"/>
          <w:szCs w:val="18"/>
        </w:rPr>
        <w:t>:</w:t>
      </w:r>
      <w:r w:rsidRPr="0004522E">
        <w:rPr>
          <w:rFonts w:ascii="Arial" w:hAnsi="Arial" w:cs="Arial"/>
          <w:sz w:val="18"/>
          <w:szCs w:val="18"/>
        </w:rPr>
        <w:t xml:space="preserve"> </w:t>
      </w:r>
    </w:p>
    <w:p w:rsidR="00E659D3" w:rsidRPr="0004522E" w:rsidRDefault="00E659D3" w:rsidP="0004522E">
      <w:pPr>
        <w:pStyle w:val="EndnoteText"/>
        <w:tabs>
          <w:tab w:val="left" w:pos="270"/>
        </w:tabs>
        <w:ind w:left="360" w:hanging="360"/>
        <w:rPr>
          <w:rFonts w:ascii="Arial" w:hAnsi="Arial" w:cs="Arial"/>
          <w:sz w:val="18"/>
          <w:szCs w:val="18"/>
        </w:rPr>
      </w:pPr>
      <w:r w:rsidRPr="0004522E">
        <w:rPr>
          <w:rFonts w:ascii="Arial" w:hAnsi="Arial" w:cs="Arial"/>
          <w:sz w:val="18"/>
          <w:szCs w:val="18"/>
        </w:rPr>
        <w:tab/>
      </w:r>
      <w:r w:rsidRPr="0004522E">
        <w:rPr>
          <w:rFonts w:ascii="Arial" w:hAnsi="Arial" w:cs="Arial"/>
          <w:sz w:val="18"/>
          <w:szCs w:val="18"/>
        </w:rPr>
        <w:tab/>
        <w:t xml:space="preserve">&lt; </w:t>
      </w:r>
      <w:hyperlink r:id="rId102" w:history="1">
        <w:r w:rsidRPr="0004522E">
          <w:rPr>
            <w:rStyle w:val="Hyperlink"/>
            <w:rFonts w:ascii="Arial" w:hAnsi="Arial" w:cs="Arial"/>
            <w:color w:val="auto"/>
            <w:sz w:val="18"/>
            <w:szCs w:val="18"/>
          </w:rPr>
          <w:t>http://www.lid-stormwater.net/raincist_maintain.htm</w:t>
        </w:r>
      </w:hyperlink>
      <w:r w:rsidRPr="0004522E">
        <w:rPr>
          <w:rFonts w:ascii="Arial" w:hAnsi="Arial" w:cs="Arial"/>
          <w:sz w:val="18"/>
          <w:szCs w:val="18"/>
        </w:rPr>
        <w:t>&gt;.</w:t>
      </w:r>
    </w:p>
  </w:endnote>
  <w:endnote w:id="94">
    <w:p w:rsidR="00E659D3" w:rsidRPr="0004522E" w:rsidRDefault="00E659D3" w:rsidP="0004522E">
      <w:pPr>
        <w:pStyle w:val="EndnoteText"/>
        <w:tabs>
          <w:tab w:val="left" w:pos="270"/>
        </w:tabs>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Austin Water Utility Conservation Program.  (2008).  </w:t>
      </w:r>
      <w:r w:rsidRPr="0004522E">
        <w:rPr>
          <w:rFonts w:ascii="Arial" w:hAnsi="Arial" w:cs="Arial"/>
          <w:i/>
          <w:sz w:val="18"/>
          <w:szCs w:val="18"/>
        </w:rPr>
        <w:t>Rainbarrel Maintenance 101</w:t>
      </w:r>
      <w:r w:rsidRPr="0004522E">
        <w:rPr>
          <w:rFonts w:ascii="Arial" w:hAnsi="Arial" w:cs="Arial"/>
          <w:sz w:val="18"/>
          <w:szCs w:val="18"/>
        </w:rPr>
        <w:t>.   Available at</w:t>
      </w:r>
      <w:r>
        <w:rPr>
          <w:rFonts w:ascii="Arial" w:hAnsi="Arial" w:cs="Arial"/>
          <w:sz w:val="18"/>
          <w:szCs w:val="18"/>
        </w:rPr>
        <w:t>:</w:t>
      </w:r>
      <w:r w:rsidRPr="0004522E">
        <w:rPr>
          <w:rFonts w:ascii="Arial" w:hAnsi="Arial" w:cs="Arial"/>
          <w:sz w:val="18"/>
          <w:szCs w:val="18"/>
        </w:rPr>
        <w:t xml:space="preserve"> &lt;</w:t>
      </w:r>
      <w:hyperlink r:id="rId103" w:history="1">
        <w:r w:rsidRPr="0004522E">
          <w:rPr>
            <w:rStyle w:val="Hyperlink"/>
            <w:rFonts w:ascii="Arial" w:hAnsi="Arial" w:cs="Arial"/>
            <w:color w:val="auto"/>
            <w:sz w:val="18"/>
            <w:szCs w:val="18"/>
          </w:rPr>
          <w:t>http://www.enewsbuilder.net/watercon/e_article001088596.cfm?x=bcD0Ls9,b2PRJJ7l</w:t>
        </w:r>
      </w:hyperlink>
      <w:r w:rsidRPr="0004522E">
        <w:rPr>
          <w:rFonts w:ascii="Arial" w:hAnsi="Arial" w:cs="Arial"/>
          <w:sz w:val="18"/>
          <w:szCs w:val="18"/>
        </w:rPr>
        <w:t xml:space="preserve">&gt;.  </w:t>
      </w:r>
    </w:p>
  </w:endnote>
  <w:endnote w:id="95">
    <w:p w:rsidR="00E659D3" w:rsidRPr="0004522E" w:rsidRDefault="00E659D3" w:rsidP="0004522E">
      <w:pPr>
        <w:pStyle w:val="EndnoteText"/>
        <w:tabs>
          <w:tab w:val="left" w:pos="270"/>
        </w:tabs>
        <w:ind w:left="360" w:hanging="360"/>
        <w:rPr>
          <w:rFonts w:ascii="Arial" w:hAnsi="Arial" w:cs="Arial"/>
          <w:i/>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University of Florida, Program for Resource efficient Communities.  (2008).  </w:t>
      </w:r>
      <w:r w:rsidRPr="0004522E">
        <w:rPr>
          <w:rFonts w:ascii="Arial" w:hAnsi="Arial" w:cs="Arial"/>
          <w:i/>
          <w:sz w:val="18"/>
          <w:szCs w:val="18"/>
        </w:rPr>
        <w:t xml:space="preserve">Florida Field Guide to Low Impact </w:t>
      </w:r>
    </w:p>
    <w:p w:rsidR="00E659D3" w:rsidRPr="0004522E" w:rsidRDefault="00E659D3" w:rsidP="0004522E">
      <w:pPr>
        <w:pStyle w:val="EndnoteText"/>
        <w:tabs>
          <w:tab w:val="left" w:pos="270"/>
        </w:tabs>
        <w:ind w:left="360" w:hanging="360"/>
        <w:rPr>
          <w:rFonts w:ascii="Arial" w:hAnsi="Arial" w:cs="Arial"/>
          <w:sz w:val="18"/>
          <w:szCs w:val="18"/>
        </w:rPr>
      </w:pPr>
      <w:r w:rsidRPr="0004522E">
        <w:rPr>
          <w:rFonts w:ascii="Arial" w:hAnsi="Arial" w:cs="Arial"/>
          <w:i/>
          <w:sz w:val="18"/>
          <w:szCs w:val="18"/>
        </w:rPr>
        <w:tab/>
      </w:r>
      <w:r w:rsidRPr="0004522E">
        <w:rPr>
          <w:rFonts w:ascii="Arial" w:hAnsi="Arial" w:cs="Arial"/>
          <w:i/>
          <w:sz w:val="18"/>
          <w:szCs w:val="18"/>
        </w:rPr>
        <w:tab/>
        <w:t>Development: Cisterns/Rain Barrels</w:t>
      </w:r>
      <w:r w:rsidRPr="0004522E">
        <w:rPr>
          <w:rFonts w:ascii="Arial" w:hAnsi="Arial" w:cs="Arial"/>
          <w:sz w:val="18"/>
          <w:szCs w:val="18"/>
        </w:rPr>
        <w:t>.  Available at</w:t>
      </w:r>
      <w:r>
        <w:rPr>
          <w:rFonts w:ascii="Arial" w:hAnsi="Arial" w:cs="Arial"/>
          <w:sz w:val="18"/>
          <w:szCs w:val="18"/>
        </w:rPr>
        <w:t>:</w:t>
      </w:r>
      <w:r w:rsidRPr="0004522E">
        <w:rPr>
          <w:rFonts w:ascii="Arial" w:hAnsi="Arial" w:cs="Arial"/>
          <w:sz w:val="18"/>
          <w:szCs w:val="18"/>
        </w:rPr>
        <w:t xml:space="preserve">  &lt;</w:t>
      </w:r>
      <w:hyperlink r:id="rId104" w:history="1">
        <w:r w:rsidRPr="0004522E">
          <w:rPr>
            <w:rStyle w:val="Hyperlink"/>
            <w:rFonts w:ascii="Arial" w:hAnsi="Arial" w:cs="Arial"/>
            <w:color w:val="auto"/>
            <w:sz w:val="18"/>
            <w:szCs w:val="18"/>
          </w:rPr>
          <w:t>http://buildgreen.ufl.edu/Fact_ percent20sheet_Cisterns_Rain_Barrels.pdf</w:t>
        </w:r>
      </w:hyperlink>
      <w:r w:rsidRPr="0004522E">
        <w:rPr>
          <w:rFonts w:ascii="Arial" w:hAnsi="Arial" w:cs="Arial"/>
          <w:sz w:val="18"/>
          <w:szCs w:val="18"/>
        </w:rPr>
        <w:t>&gt;.</w:t>
      </w:r>
    </w:p>
  </w:endnote>
  <w:endnote w:id="96">
    <w:p w:rsidR="00E659D3" w:rsidRPr="0004522E" w:rsidRDefault="00E659D3" w:rsidP="0004522E">
      <w:pPr>
        <w:pStyle w:val="EndnoteText"/>
        <w:tabs>
          <w:tab w:val="left" w:pos="270"/>
        </w:tabs>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Fairfax County Government.  </w:t>
      </w:r>
      <w:r w:rsidRPr="0004522E">
        <w:rPr>
          <w:rFonts w:ascii="Arial" w:hAnsi="Arial" w:cs="Arial"/>
          <w:i/>
          <w:sz w:val="18"/>
          <w:szCs w:val="18"/>
        </w:rPr>
        <w:t xml:space="preserve">Cistern Maintenance.  </w:t>
      </w:r>
      <w:r w:rsidRPr="0004522E">
        <w:rPr>
          <w:rFonts w:ascii="Arial" w:hAnsi="Arial" w:cs="Arial"/>
          <w:sz w:val="18"/>
          <w:szCs w:val="18"/>
        </w:rPr>
        <w:t>Available at</w:t>
      </w:r>
      <w:r>
        <w:rPr>
          <w:rFonts w:ascii="Arial" w:hAnsi="Arial" w:cs="Arial"/>
          <w:sz w:val="18"/>
          <w:szCs w:val="18"/>
        </w:rPr>
        <w:t>:</w:t>
      </w:r>
      <w:r w:rsidRPr="0004522E">
        <w:rPr>
          <w:rFonts w:ascii="Arial" w:hAnsi="Arial" w:cs="Arial"/>
          <w:sz w:val="18"/>
          <w:szCs w:val="18"/>
        </w:rPr>
        <w:t xml:space="preserve"> </w:t>
      </w:r>
    </w:p>
    <w:p w:rsidR="00E659D3" w:rsidRPr="0004522E" w:rsidRDefault="00E659D3" w:rsidP="0004522E">
      <w:pPr>
        <w:pStyle w:val="EndnoteText"/>
        <w:tabs>
          <w:tab w:val="left" w:pos="270"/>
        </w:tabs>
        <w:ind w:left="360" w:hanging="360"/>
        <w:rPr>
          <w:rFonts w:ascii="Arial" w:hAnsi="Arial" w:cs="Arial"/>
          <w:sz w:val="18"/>
          <w:szCs w:val="18"/>
        </w:rPr>
      </w:pPr>
      <w:r w:rsidRPr="0004522E">
        <w:rPr>
          <w:rFonts w:ascii="Arial" w:hAnsi="Arial" w:cs="Arial"/>
          <w:sz w:val="18"/>
          <w:szCs w:val="18"/>
        </w:rPr>
        <w:tab/>
      </w:r>
      <w:r w:rsidRPr="0004522E">
        <w:rPr>
          <w:rFonts w:ascii="Arial" w:hAnsi="Arial" w:cs="Arial"/>
          <w:sz w:val="18"/>
          <w:szCs w:val="18"/>
        </w:rPr>
        <w:tab/>
        <w:t>&lt;</w:t>
      </w:r>
      <w:hyperlink r:id="rId105" w:history="1">
        <w:r w:rsidRPr="0004522E">
          <w:rPr>
            <w:rStyle w:val="Hyperlink"/>
            <w:rFonts w:ascii="Arial" w:hAnsi="Arial" w:cs="Arial"/>
            <w:color w:val="auto"/>
            <w:sz w:val="18"/>
            <w:szCs w:val="18"/>
          </w:rPr>
          <w:t>http://www.resolv.org/fairfaxcountystormwater/homeowners/cistern_maintenance.pdf</w:t>
        </w:r>
      </w:hyperlink>
      <w:r w:rsidRPr="0004522E">
        <w:rPr>
          <w:rFonts w:ascii="Arial" w:hAnsi="Arial" w:cs="Arial"/>
          <w:sz w:val="18"/>
          <w:szCs w:val="18"/>
        </w:rPr>
        <w:t>&gt;</w:t>
      </w:r>
    </w:p>
  </w:endnote>
  <w:endnote w:id="97">
    <w:p w:rsidR="00E659D3" w:rsidRPr="0004522E" w:rsidRDefault="00E659D3" w:rsidP="0004522E">
      <w:pPr>
        <w:pStyle w:val="EndnoteText"/>
        <w:tabs>
          <w:tab w:val="left" w:pos="270"/>
        </w:tabs>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USEPA. (2010). </w:t>
      </w:r>
      <w:r w:rsidRPr="0004522E">
        <w:rPr>
          <w:rFonts w:ascii="Arial" w:hAnsi="Arial" w:cs="Arial"/>
          <w:i/>
          <w:sz w:val="18"/>
          <w:szCs w:val="18"/>
        </w:rPr>
        <w:t>Guidance for Federal Land Management in the Chesapeake Bay Watershed</w:t>
      </w:r>
      <w:r w:rsidRPr="0004522E">
        <w:rPr>
          <w:rFonts w:ascii="Arial" w:hAnsi="Arial" w:cs="Arial"/>
          <w:sz w:val="18"/>
          <w:szCs w:val="18"/>
        </w:rPr>
        <w:t>. 848 pp. Available at</w:t>
      </w:r>
      <w:r>
        <w:rPr>
          <w:rFonts w:ascii="Arial" w:hAnsi="Arial" w:cs="Arial"/>
          <w:sz w:val="18"/>
          <w:szCs w:val="18"/>
        </w:rPr>
        <w:t>:</w:t>
      </w:r>
      <w:r w:rsidRPr="0004522E">
        <w:rPr>
          <w:rFonts w:ascii="Arial" w:hAnsi="Arial" w:cs="Arial"/>
          <w:sz w:val="18"/>
          <w:szCs w:val="18"/>
        </w:rPr>
        <w:t xml:space="preserve"> </w:t>
      </w:r>
    </w:p>
    <w:p w:rsidR="00E659D3" w:rsidRPr="0004522E" w:rsidRDefault="00E659D3" w:rsidP="0004522E">
      <w:pPr>
        <w:pStyle w:val="EndnoteText"/>
        <w:tabs>
          <w:tab w:val="left" w:pos="270"/>
        </w:tabs>
        <w:ind w:left="360" w:hanging="360"/>
        <w:rPr>
          <w:rFonts w:ascii="Arial" w:hAnsi="Arial" w:cs="Arial"/>
          <w:sz w:val="18"/>
          <w:szCs w:val="18"/>
        </w:rPr>
      </w:pPr>
      <w:r w:rsidRPr="0004522E">
        <w:rPr>
          <w:rFonts w:ascii="Arial" w:hAnsi="Arial" w:cs="Arial"/>
          <w:sz w:val="18"/>
          <w:szCs w:val="18"/>
        </w:rPr>
        <w:tab/>
      </w:r>
      <w:r w:rsidRPr="0004522E">
        <w:rPr>
          <w:rFonts w:ascii="Arial" w:hAnsi="Arial" w:cs="Arial"/>
          <w:sz w:val="18"/>
          <w:szCs w:val="18"/>
        </w:rPr>
        <w:tab/>
        <w:t>&lt;</w:t>
      </w:r>
      <w:hyperlink r:id="rId106" w:history="1">
        <w:r w:rsidRPr="0004522E">
          <w:rPr>
            <w:rStyle w:val="Hyperlink"/>
            <w:rFonts w:ascii="Arial" w:hAnsi="Arial" w:cs="Arial"/>
            <w:color w:val="auto"/>
            <w:sz w:val="18"/>
            <w:szCs w:val="18"/>
          </w:rPr>
          <w:t>http://www.epa.gov/owow_keep/NPS/chesbay502/</w:t>
        </w:r>
      </w:hyperlink>
      <w:r w:rsidRPr="0004522E">
        <w:rPr>
          <w:rFonts w:ascii="Arial" w:hAnsi="Arial" w:cs="Arial"/>
          <w:sz w:val="18"/>
          <w:szCs w:val="18"/>
        </w:rPr>
        <w:t>&gt;.</w:t>
      </w:r>
    </w:p>
  </w:endnote>
  <w:endnote w:id="98">
    <w:p w:rsidR="00E659D3" w:rsidRPr="0004522E" w:rsidRDefault="00E659D3" w:rsidP="0004522E">
      <w:pPr>
        <w:pStyle w:val="EndnoteText"/>
        <w:tabs>
          <w:tab w:val="left" w:pos="270"/>
        </w:tabs>
        <w:ind w:left="360" w:hanging="360"/>
        <w:rPr>
          <w:rFonts w:ascii="Arial" w:hAnsi="Arial" w:cs="Arial"/>
          <w:i/>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University of Florida, Program for Resource efficient Communities.  (2008).  </w:t>
      </w:r>
      <w:r w:rsidRPr="0004522E">
        <w:rPr>
          <w:rFonts w:ascii="Arial" w:hAnsi="Arial" w:cs="Arial"/>
          <w:i/>
          <w:sz w:val="18"/>
          <w:szCs w:val="18"/>
        </w:rPr>
        <w:t xml:space="preserve">Florida Field Guide to Low Impact </w:t>
      </w:r>
    </w:p>
    <w:p w:rsidR="00E659D3" w:rsidRDefault="00E659D3" w:rsidP="0004522E">
      <w:pPr>
        <w:pStyle w:val="EndnoteText"/>
        <w:tabs>
          <w:tab w:val="left" w:pos="270"/>
        </w:tabs>
        <w:ind w:left="360" w:hanging="360"/>
        <w:rPr>
          <w:rFonts w:ascii="Arial" w:hAnsi="Arial" w:cs="Arial"/>
          <w:sz w:val="18"/>
          <w:szCs w:val="18"/>
        </w:rPr>
      </w:pPr>
      <w:r w:rsidRPr="0004522E">
        <w:rPr>
          <w:rFonts w:ascii="Arial" w:hAnsi="Arial" w:cs="Arial"/>
          <w:i/>
          <w:sz w:val="18"/>
          <w:szCs w:val="18"/>
        </w:rPr>
        <w:tab/>
      </w:r>
      <w:r w:rsidRPr="0004522E">
        <w:rPr>
          <w:rFonts w:ascii="Arial" w:hAnsi="Arial" w:cs="Arial"/>
          <w:i/>
          <w:sz w:val="18"/>
          <w:szCs w:val="18"/>
        </w:rPr>
        <w:tab/>
        <w:t>Development: Cisterns/Rain Barrels</w:t>
      </w:r>
      <w:r w:rsidRPr="0004522E">
        <w:rPr>
          <w:rFonts w:ascii="Arial" w:hAnsi="Arial" w:cs="Arial"/>
          <w:sz w:val="18"/>
          <w:szCs w:val="18"/>
        </w:rPr>
        <w:t>.  Available at</w:t>
      </w:r>
      <w:r>
        <w:rPr>
          <w:rFonts w:ascii="Arial" w:hAnsi="Arial" w:cs="Arial"/>
          <w:sz w:val="18"/>
          <w:szCs w:val="18"/>
        </w:rPr>
        <w:t>:</w:t>
      </w:r>
      <w:r w:rsidRPr="0004522E">
        <w:rPr>
          <w:rFonts w:ascii="Arial" w:hAnsi="Arial" w:cs="Arial"/>
          <w:sz w:val="18"/>
          <w:szCs w:val="18"/>
        </w:rPr>
        <w:t xml:space="preserve">  &lt;</w:t>
      </w:r>
      <w:hyperlink r:id="rId107" w:history="1">
        <w:r w:rsidRPr="0004522E">
          <w:rPr>
            <w:rStyle w:val="Hyperlink"/>
            <w:rFonts w:ascii="Arial" w:hAnsi="Arial" w:cs="Arial"/>
            <w:color w:val="auto"/>
            <w:sz w:val="18"/>
            <w:szCs w:val="18"/>
          </w:rPr>
          <w:t>http://buildgreen.ufl.edu/Fact_ percent20sheet_Cisterns_Rain_Barrels.pdf</w:t>
        </w:r>
      </w:hyperlink>
      <w:r w:rsidRPr="0004522E">
        <w:rPr>
          <w:rFonts w:ascii="Arial" w:hAnsi="Arial" w:cs="Arial"/>
          <w:sz w:val="18"/>
          <w:szCs w:val="18"/>
        </w:rPr>
        <w:t>&gt;.</w:t>
      </w:r>
    </w:p>
    <w:p w:rsidR="00E659D3" w:rsidRPr="0004522E" w:rsidRDefault="00E659D3" w:rsidP="0004522E">
      <w:pPr>
        <w:pStyle w:val="EndnoteText"/>
        <w:tabs>
          <w:tab w:val="left" w:pos="270"/>
        </w:tabs>
        <w:ind w:left="360" w:hanging="360"/>
        <w:rPr>
          <w:rFonts w:ascii="Arial" w:hAnsi="Arial" w:cs="Arial"/>
          <w:sz w:val="18"/>
          <w:szCs w:val="18"/>
        </w:rPr>
      </w:pPr>
    </w:p>
    <w:p w:rsidR="00E659D3" w:rsidRDefault="00E659D3" w:rsidP="005F74AA">
      <w:pPr>
        <w:pStyle w:val="EndnoteText"/>
        <w:tabs>
          <w:tab w:val="left" w:pos="90"/>
        </w:tabs>
        <w:ind w:left="450" w:hanging="450"/>
        <w:rPr>
          <w:rFonts w:ascii="Times New Roman" w:hAnsi="Times New Roman"/>
          <w:sz w:val="18"/>
          <w:szCs w:val="18"/>
        </w:rPr>
      </w:pPr>
    </w:p>
    <w:p w:rsidR="00E659D3" w:rsidRPr="0004522E" w:rsidRDefault="00E659D3" w:rsidP="0004522E">
      <w:pPr>
        <w:pStyle w:val="EndnoteText"/>
        <w:tabs>
          <w:tab w:val="left" w:pos="90"/>
        </w:tabs>
        <w:rPr>
          <w:rFonts w:ascii="Arial" w:hAnsi="Arial" w:cs="Arial"/>
          <w:b/>
          <w:sz w:val="18"/>
          <w:szCs w:val="18"/>
        </w:rPr>
      </w:pPr>
      <w:r w:rsidRPr="0004522E">
        <w:rPr>
          <w:rFonts w:ascii="Arial" w:hAnsi="Arial" w:cs="Arial"/>
          <w:b/>
          <w:sz w:val="18"/>
          <w:szCs w:val="18"/>
        </w:rPr>
        <w:t>Additional Resources for Rain Barrels and Cisterns:</w:t>
      </w:r>
    </w:p>
    <w:p w:rsidR="00E659D3" w:rsidRPr="0004522E" w:rsidRDefault="00E659D3" w:rsidP="0004522E">
      <w:pPr>
        <w:pStyle w:val="EndnoteText"/>
        <w:tabs>
          <w:tab w:val="left" w:pos="90"/>
        </w:tabs>
        <w:rPr>
          <w:rFonts w:ascii="Arial" w:hAnsi="Arial" w:cs="Arial"/>
          <w:sz w:val="18"/>
          <w:szCs w:val="18"/>
        </w:rPr>
      </w:pPr>
    </w:p>
    <w:p w:rsidR="00E659D3" w:rsidRPr="0004522E" w:rsidRDefault="00E659D3" w:rsidP="0004522E">
      <w:pPr>
        <w:pStyle w:val="bullet"/>
        <w:numPr>
          <w:ilvl w:val="0"/>
          <w:numId w:val="46"/>
        </w:numPr>
        <w:rPr>
          <w:b/>
          <w:i/>
          <w:sz w:val="18"/>
          <w:szCs w:val="18"/>
        </w:rPr>
      </w:pPr>
      <w:r w:rsidRPr="0004522E">
        <w:rPr>
          <w:i/>
          <w:sz w:val="18"/>
          <w:szCs w:val="18"/>
        </w:rPr>
        <w:t>North Carolina State University, Rainwater Harvesting</w:t>
      </w:r>
      <w:r w:rsidRPr="0004522E">
        <w:rPr>
          <w:sz w:val="18"/>
          <w:szCs w:val="18"/>
        </w:rPr>
        <w:t xml:space="preserve"> Web site, (</w:t>
      </w:r>
      <w:hyperlink r:id="rId108" w:history="1">
        <w:r w:rsidRPr="0004522E">
          <w:rPr>
            <w:rStyle w:val="Hyperlink"/>
            <w:color w:val="auto"/>
            <w:sz w:val="18"/>
            <w:szCs w:val="18"/>
          </w:rPr>
          <w:t>http://www.bae.ncsu.edu/topic/waterharvesting/</w:t>
        </w:r>
      </w:hyperlink>
      <w:r w:rsidRPr="0004522E">
        <w:rPr>
          <w:sz w:val="18"/>
          <w:szCs w:val="18"/>
        </w:rPr>
        <w:t>) – Contains background information and current performance research on rainwater harvesting techniques</w:t>
      </w:r>
    </w:p>
    <w:p w:rsidR="00E659D3" w:rsidRPr="0004522E" w:rsidRDefault="00E659D3" w:rsidP="0004522E">
      <w:pPr>
        <w:pStyle w:val="bullet"/>
        <w:numPr>
          <w:ilvl w:val="0"/>
          <w:numId w:val="46"/>
        </w:numPr>
        <w:rPr>
          <w:b/>
          <w:i/>
          <w:sz w:val="18"/>
          <w:szCs w:val="18"/>
        </w:rPr>
      </w:pPr>
      <w:r w:rsidRPr="0004522E">
        <w:rPr>
          <w:i/>
          <w:sz w:val="18"/>
          <w:szCs w:val="18"/>
        </w:rPr>
        <w:t xml:space="preserve">Virginia Department of Conservation and Recreation, Stormwater Design Specifications </w:t>
      </w:r>
      <w:r w:rsidRPr="0004522E">
        <w:rPr>
          <w:sz w:val="18"/>
          <w:szCs w:val="18"/>
        </w:rPr>
        <w:t>(</w:t>
      </w:r>
      <w:hyperlink r:id="rId109" w:history="1">
        <w:r w:rsidRPr="0004522E">
          <w:rPr>
            <w:rStyle w:val="Hyperlink"/>
            <w:color w:val="auto"/>
            <w:sz w:val="18"/>
            <w:szCs w:val="18"/>
          </w:rPr>
          <w:t>http://www.chesapeakestormwater.net/storage/first-draft-baywide-design-specificationsi/BAYWIDE%20No%206%20RAIN%20TANKS%20AND%20CISTERNS.pdf</w:t>
        </w:r>
      </w:hyperlink>
      <w:r w:rsidRPr="0004522E">
        <w:rPr>
          <w:sz w:val="18"/>
          <w:szCs w:val="18"/>
        </w:rPr>
        <w:t>) – Contains design specifications for rainwater harvesting</w:t>
      </w:r>
    </w:p>
    <w:p w:rsidR="00E659D3" w:rsidRPr="0004522E" w:rsidRDefault="00E659D3" w:rsidP="0004522E">
      <w:pPr>
        <w:pStyle w:val="bullet"/>
        <w:numPr>
          <w:ilvl w:val="0"/>
          <w:numId w:val="46"/>
        </w:numPr>
        <w:rPr>
          <w:sz w:val="18"/>
          <w:szCs w:val="18"/>
        </w:rPr>
      </w:pPr>
      <w:r w:rsidRPr="0004522E">
        <w:rPr>
          <w:i/>
          <w:sz w:val="18"/>
          <w:szCs w:val="18"/>
        </w:rPr>
        <w:t>Infrastructure Guidance: Cisterns and Rain Barrels</w:t>
      </w:r>
      <w:r w:rsidRPr="0004522E">
        <w:rPr>
          <w:sz w:val="18"/>
          <w:szCs w:val="18"/>
        </w:rPr>
        <w:t xml:space="preserve"> (</w:t>
      </w:r>
      <w:hyperlink r:id="rId110" w:history="1">
        <w:r w:rsidRPr="0004522E">
          <w:rPr>
            <w:rStyle w:val="Hyperlink"/>
            <w:color w:val="auto"/>
            <w:sz w:val="18"/>
            <w:szCs w:val="18"/>
          </w:rPr>
          <w:t>http://www.sustainindy.org/assets/uploads/4_03_CisternsandRainBarrels.pdf</w:t>
        </w:r>
      </w:hyperlink>
      <w:r w:rsidRPr="0004522E">
        <w:rPr>
          <w:sz w:val="18"/>
          <w:szCs w:val="18"/>
        </w:rPr>
        <w:t>) – Contains overview and design considerations for vegetated channels</w:t>
      </w:r>
    </w:p>
    <w:p w:rsidR="00E659D3" w:rsidRPr="00CF0C43" w:rsidRDefault="00E659D3" w:rsidP="005F74AA">
      <w:pPr>
        <w:pStyle w:val="EndnoteText"/>
        <w:tabs>
          <w:tab w:val="left" w:pos="90"/>
        </w:tabs>
        <w:ind w:left="450" w:hanging="450"/>
        <w:rPr>
          <w:rFonts w:ascii="Times New Roman" w:hAnsi="Times New Roman"/>
        </w:rPr>
      </w:pPr>
    </w:p>
  </w:endnote>
  <w:endnote w:id="99">
    <w:p w:rsidR="00E659D3" w:rsidRPr="0004522E" w:rsidRDefault="00E659D3" w:rsidP="0004522E">
      <w:pPr>
        <w:ind w:left="360" w:hanging="360"/>
        <w:rPr>
          <w:rFonts w:cs="Arial"/>
          <w:sz w:val="18"/>
          <w:szCs w:val="18"/>
        </w:rPr>
      </w:pPr>
      <w:r w:rsidRPr="0004522E">
        <w:rPr>
          <w:rStyle w:val="EndnoteReference"/>
          <w:rFonts w:cs="Arial"/>
          <w:sz w:val="18"/>
          <w:szCs w:val="18"/>
        </w:rPr>
        <w:endnoteRef/>
      </w:r>
      <w:r w:rsidRPr="0004522E">
        <w:rPr>
          <w:rFonts w:cs="Arial"/>
          <w:sz w:val="18"/>
          <w:szCs w:val="18"/>
        </w:rPr>
        <w:t xml:space="preserve">New York State Department of Environmental Conservation. (2010).  </w:t>
      </w:r>
      <w:r w:rsidRPr="0004522E">
        <w:rPr>
          <w:rFonts w:cs="Arial"/>
          <w:i/>
          <w:sz w:val="18"/>
          <w:szCs w:val="18"/>
        </w:rPr>
        <w:t>New York State Stormwater Management Design Manual</w:t>
      </w:r>
      <w:r w:rsidRPr="0004522E">
        <w:rPr>
          <w:rFonts w:cs="Arial"/>
          <w:sz w:val="18"/>
          <w:szCs w:val="18"/>
        </w:rPr>
        <w:t>. 642 pp. Available at</w:t>
      </w:r>
      <w:r>
        <w:rPr>
          <w:rFonts w:cs="Arial"/>
          <w:sz w:val="18"/>
          <w:szCs w:val="18"/>
        </w:rPr>
        <w:t>:</w:t>
      </w:r>
      <w:r w:rsidRPr="0004522E">
        <w:rPr>
          <w:rFonts w:cs="Arial"/>
          <w:sz w:val="18"/>
          <w:szCs w:val="18"/>
        </w:rPr>
        <w:t xml:space="preserve"> &lt;</w:t>
      </w:r>
      <w:hyperlink r:id="rId111" w:history="1">
        <w:r w:rsidRPr="0004522E">
          <w:rPr>
            <w:rStyle w:val="Hyperlink"/>
            <w:rFonts w:cs="Arial"/>
            <w:color w:val="auto"/>
            <w:sz w:val="18"/>
            <w:szCs w:val="18"/>
          </w:rPr>
          <w:t>http://www.dec.ny.gov/chemical/29072.html</w:t>
        </w:r>
      </w:hyperlink>
      <w:r w:rsidRPr="0004522E">
        <w:rPr>
          <w:rFonts w:cs="Arial"/>
          <w:sz w:val="18"/>
          <w:szCs w:val="18"/>
        </w:rPr>
        <w:t xml:space="preserve">&gt;. </w:t>
      </w:r>
    </w:p>
  </w:endnote>
  <w:endnote w:id="100">
    <w:p w:rsidR="00E659D3" w:rsidRPr="0004522E" w:rsidRDefault="00E659D3" w:rsidP="0004522E">
      <w:pPr>
        <w:pStyle w:val="EndnoteText"/>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Vymazal, J. (2010). </w:t>
      </w:r>
      <w:r w:rsidRPr="0004522E">
        <w:rPr>
          <w:rFonts w:ascii="Arial" w:hAnsi="Arial" w:cs="Arial"/>
          <w:i/>
          <w:sz w:val="18"/>
          <w:szCs w:val="18"/>
        </w:rPr>
        <w:t>Review: Constructed Wetlands for Wastewater Treatment</w:t>
      </w:r>
      <w:r w:rsidRPr="0004522E">
        <w:rPr>
          <w:rFonts w:ascii="Arial" w:hAnsi="Arial" w:cs="Arial"/>
          <w:sz w:val="18"/>
          <w:szCs w:val="18"/>
        </w:rPr>
        <w:t>. Water 2010, 2(3), 530-549. Available at: &lt;</w:t>
      </w:r>
      <w:hyperlink r:id="rId112" w:history="1">
        <w:r w:rsidRPr="0004522E">
          <w:rPr>
            <w:rStyle w:val="Hyperlink"/>
            <w:rFonts w:ascii="Arial" w:hAnsi="Arial" w:cs="Arial"/>
            <w:color w:val="auto"/>
            <w:sz w:val="18"/>
            <w:szCs w:val="18"/>
          </w:rPr>
          <w:t>http://www.mdpi.com/2073-4441/2/3/530/pdf</w:t>
        </w:r>
      </w:hyperlink>
      <w:r w:rsidRPr="0004522E">
        <w:rPr>
          <w:rFonts w:ascii="Arial" w:hAnsi="Arial" w:cs="Arial"/>
          <w:sz w:val="18"/>
          <w:szCs w:val="18"/>
        </w:rPr>
        <w:t xml:space="preserve">&gt;.   </w:t>
      </w:r>
    </w:p>
  </w:endnote>
  <w:endnote w:id="101">
    <w:p w:rsidR="00E659D3" w:rsidRPr="0004522E" w:rsidRDefault="00E659D3" w:rsidP="0004522E">
      <w:pPr>
        <w:pStyle w:val="EndnoteText"/>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USEPA.  (1995).  </w:t>
      </w:r>
      <w:r w:rsidRPr="0004522E">
        <w:rPr>
          <w:rFonts w:ascii="Arial" w:hAnsi="Arial" w:cs="Arial"/>
          <w:i/>
          <w:sz w:val="18"/>
          <w:szCs w:val="18"/>
        </w:rPr>
        <w:t>Handbook of Constructed Wetlands: General Considerations: Volume 1</w:t>
      </w:r>
      <w:r>
        <w:rPr>
          <w:rFonts w:ascii="Arial" w:hAnsi="Arial" w:cs="Arial"/>
          <w:sz w:val="18"/>
          <w:szCs w:val="18"/>
        </w:rPr>
        <w:t xml:space="preserve">.  53 pp.  Available at: </w:t>
      </w:r>
      <w:r w:rsidRPr="0004522E">
        <w:rPr>
          <w:rFonts w:ascii="Arial" w:hAnsi="Arial" w:cs="Arial"/>
          <w:sz w:val="18"/>
          <w:szCs w:val="18"/>
        </w:rPr>
        <w:t>&lt;</w:t>
      </w:r>
      <w:hyperlink r:id="rId113" w:history="1">
        <w:r w:rsidRPr="0004522E">
          <w:rPr>
            <w:rStyle w:val="Hyperlink"/>
            <w:rFonts w:ascii="Arial" w:hAnsi="Arial" w:cs="Arial"/>
            <w:color w:val="auto"/>
            <w:sz w:val="18"/>
            <w:szCs w:val="18"/>
          </w:rPr>
          <w:t>http://www.epa.gov/owow/wetlands/pdf/hand.pdf</w:t>
        </w:r>
      </w:hyperlink>
      <w:r w:rsidRPr="0004522E">
        <w:rPr>
          <w:rFonts w:ascii="Arial" w:hAnsi="Arial" w:cs="Arial"/>
          <w:sz w:val="18"/>
          <w:szCs w:val="18"/>
        </w:rPr>
        <w:t xml:space="preserve">&gt;.   </w:t>
      </w:r>
    </w:p>
  </w:endnote>
  <w:endnote w:id="102">
    <w:p w:rsidR="00E659D3" w:rsidRPr="0004522E" w:rsidRDefault="00E659D3" w:rsidP="0004522E">
      <w:pPr>
        <w:pStyle w:val="EndnoteText"/>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USEPA.  (1995).  </w:t>
      </w:r>
      <w:r w:rsidRPr="0004522E">
        <w:rPr>
          <w:rFonts w:ascii="Arial" w:hAnsi="Arial" w:cs="Arial"/>
          <w:i/>
          <w:sz w:val="18"/>
          <w:szCs w:val="18"/>
        </w:rPr>
        <w:t>Handbook of Constructed Wetlands: General Considerations: Volume 1</w:t>
      </w:r>
      <w:r>
        <w:rPr>
          <w:rFonts w:ascii="Arial" w:hAnsi="Arial" w:cs="Arial"/>
          <w:sz w:val="18"/>
          <w:szCs w:val="18"/>
        </w:rPr>
        <w:t xml:space="preserve">.  53 pp.  Available at: </w:t>
      </w:r>
      <w:r w:rsidRPr="0004522E">
        <w:rPr>
          <w:rFonts w:ascii="Arial" w:hAnsi="Arial" w:cs="Arial"/>
          <w:sz w:val="18"/>
          <w:szCs w:val="18"/>
        </w:rPr>
        <w:t>&lt;</w:t>
      </w:r>
      <w:hyperlink r:id="rId114" w:history="1">
        <w:r w:rsidRPr="0004522E">
          <w:rPr>
            <w:rStyle w:val="Hyperlink"/>
            <w:rFonts w:ascii="Arial" w:hAnsi="Arial" w:cs="Arial"/>
            <w:color w:val="auto"/>
            <w:sz w:val="18"/>
            <w:szCs w:val="18"/>
          </w:rPr>
          <w:t>http://www.epa.gov/owow/wetlands/pdf/hand.pdf</w:t>
        </w:r>
      </w:hyperlink>
      <w:r w:rsidRPr="0004522E">
        <w:rPr>
          <w:rFonts w:ascii="Arial" w:hAnsi="Arial" w:cs="Arial"/>
          <w:sz w:val="18"/>
          <w:szCs w:val="18"/>
        </w:rPr>
        <w:t xml:space="preserve">&gt;.   </w:t>
      </w:r>
    </w:p>
  </w:endnote>
  <w:endnote w:id="103">
    <w:p w:rsidR="00E659D3" w:rsidRPr="0004522E" w:rsidRDefault="00E659D3" w:rsidP="0004522E">
      <w:pPr>
        <w:pStyle w:val="EndnoteText"/>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Clermont County, Ohio.  </w:t>
      </w:r>
      <w:r w:rsidRPr="0004522E">
        <w:rPr>
          <w:rFonts w:ascii="Arial" w:hAnsi="Arial" w:cs="Arial"/>
          <w:i/>
          <w:sz w:val="18"/>
          <w:szCs w:val="18"/>
        </w:rPr>
        <w:t xml:space="preserve">Stormwater Wetland.  </w:t>
      </w:r>
      <w:r w:rsidRPr="0004522E">
        <w:rPr>
          <w:rFonts w:ascii="Arial" w:hAnsi="Arial" w:cs="Arial"/>
          <w:sz w:val="18"/>
          <w:szCs w:val="18"/>
        </w:rPr>
        <w:t>4 pp.  Available at</w:t>
      </w:r>
      <w:r>
        <w:rPr>
          <w:rFonts w:ascii="Arial" w:hAnsi="Arial" w:cs="Arial"/>
          <w:sz w:val="18"/>
          <w:szCs w:val="18"/>
        </w:rPr>
        <w:t>:</w:t>
      </w:r>
      <w:r w:rsidRPr="0004522E">
        <w:rPr>
          <w:rFonts w:ascii="Arial" w:hAnsi="Arial" w:cs="Arial"/>
          <w:sz w:val="18"/>
          <w:szCs w:val="18"/>
        </w:rPr>
        <w:t xml:space="preserve"> &lt;</w:t>
      </w:r>
      <w:hyperlink r:id="rId115" w:history="1">
        <w:r w:rsidRPr="0004522E">
          <w:rPr>
            <w:rStyle w:val="Hyperlink"/>
            <w:rFonts w:ascii="Arial" w:hAnsi="Arial" w:cs="Arial"/>
            <w:color w:val="auto"/>
            <w:sz w:val="18"/>
            <w:szCs w:val="18"/>
          </w:rPr>
          <w:t>http://www.clermontstorm.net/wetland.pdf</w:t>
        </w:r>
      </w:hyperlink>
      <w:r w:rsidRPr="0004522E">
        <w:rPr>
          <w:rFonts w:ascii="Arial" w:hAnsi="Arial" w:cs="Arial"/>
          <w:sz w:val="18"/>
          <w:szCs w:val="18"/>
        </w:rPr>
        <w:t>&gt;.</w:t>
      </w:r>
    </w:p>
  </w:endnote>
  <w:endnote w:id="104">
    <w:p w:rsidR="00E659D3" w:rsidRPr="0004522E" w:rsidRDefault="00E659D3" w:rsidP="0004522E">
      <w:pPr>
        <w:pStyle w:val="EndnoteText"/>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Metropolitan Council.  (Minneapolis-Saint Paul, MN).</w:t>
      </w:r>
      <w:r w:rsidRPr="0004522E">
        <w:rPr>
          <w:rFonts w:ascii="Arial" w:hAnsi="Arial" w:cs="Arial"/>
          <w:i/>
          <w:sz w:val="18"/>
          <w:szCs w:val="18"/>
        </w:rPr>
        <w:t xml:space="preserve"> Constructed Wetlands Stormwater Wetlands.  </w:t>
      </w:r>
      <w:r>
        <w:rPr>
          <w:rFonts w:ascii="Arial" w:hAnsi="Arial" w:cs="Arial"/>
          <w:sz w:val="18"/>
          <w:szCs w:val="18"/>
        </w:rPr>
        <w:t xml:space="preserve">15 pp. Available at: </w:t>
      </w:r>
      <w:r w:rsidRPr="0004522E">
        <w:rPr>
          <w:rFonts w:ascii="Arial" w:hAnsi="Arial" w:cs="Arial"/>
          <w:sz w:val="18"/>
          <w:szCs w:val="18"/>
        </w:rPr>
        <w:t>&lt;</w:t>
      </w:r>
      <w:hyperlink r:id="rId116" w:history="1">
        <w:r w:rsidRPr="0004522E">
          <w:rPr>
            <w:rStyle w:val="Hyperlink"/>
            <w:rFonts w:ascii="Arial" w:hAnsi="Arial" w:cs="Arial"/>
            <w:color w:val="auto"/>
            <w:sz w:val="18"/>
            <w:szCs w:val="18"/>
          </w:rPr>
          <w:t>http://www.metrocouncil.org/environment/Water/BMP/CH3_STConstWLSwWetland.pdf</w:t>
        </w:r>
      </w:hyperlink>
      <w:r w:rsidRPr="0004522E">
        <w:rPr>
          <w:rFonts w:ascii="Arial" w:hAnsi="Arial" w:cs="Arial"/>
          <w:sz w:val="18"/>
          <w:szCs w:val="18"/>
        </w:rPr>
        <w:t>&gt;.</w:t>
      </w:r>
    </w:p>
  </w:endnote>
  <w:endnote w:id="105">
    <w:p w:rsidR="00E659D3" w:rsidRPr="0004522E" w:rsidRDefault="00E659D3" w:rsidP="0004522E">
      <w:pPr>
        <w:pStyle w:val="EndnoteText"/>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USEPA.  (1995).  </w:t>
      </w:r>
      <w:r w:rsidRPr="0004522E">
        <w:rPr>
          <w:rFonts w:ascii="Arial" w:hAnsi="Arial" w:cs="Arial"/>
          <w:i/>
          <w:sz w:val="18"/>
          <w:szCs w:val="18"/>
        </w:rPr>
        <w:t>Handbook of Constructed Wetlands: General Considerations: Volume 1</w:t>
      </w:r>
      <w:r w:rsidRPr="0004522E">
        <w:rPr>
          <w:rFonts w:ascii="Arial" w:hAnsi="Arial" w:cs="Arial"/>
          <w:sz w:val="18"/>
          <w:szCs w:val="18"/>
        </w:rPr>
        <w:t xml:space="preserve">. </w:t>
      </w:r>
      <w:r>
        <w:rPr>
          <w:rFonts w:ascii="Arial" w:hAnsi="Arial" w:cs="Arial"/>
          <w:sz w:val="18"/>
          <w:szCs w:val="18"/>
        </w:rPr>
        <w:t xml:space="preserve"> 53 pp.  Available at: </w:t>
      </w:r>
      <w:r w:rsidRPr="0004522E">
        <w:rPr>
          <w:rFonts w:ascii="Arial" w:hAnsi="Arial" w:cs="Arial"/>
          <w:sz w:val="18"/>
          <w:szCs w:val="18"/>
        </w:rPr>
        <w:t>&lt;</w:t>
      </w:r>
      <w:hyperlink r:id="rId117" w:history="1">
        <w:r w:rsidRPr="0004522E">
          <w:rPr>
            <w:rStyle w:val="Hyperlink"/>
            <w:rFonts w:ascii="Arial" w:hAnsi="Arial" w:cs="Arial"/>
            <w:color w:val="auto"/>
            <w:sz w:val="18"/>
            <w:szCs w:val="18"/>
          </w:rPr>
          <w:t>http://www.epa.gov/owow/wetlands/pdf/hand.pdf</w:t>
        </w:r>
      </w:hyperlink>
      <w:r w:rsidRPr="0004522E">
        <w:rPr>
          <w:rFonts w:ascii="Arial" w:hAnsi="Arial" w:cs="Arial"/>
          <w:sz w:val="18"/>
          <w:szCs w:val="18"/>
        </w:rPr>
        <w:t xml:space="preserve">&gt;.   </w:t>
      </w:r>
    </w:p>
  </w:endnote>
  <w:endnote w:id="106">
    <w:p w:rsidR="00E659D3" w:rsidRPr="0004522E" w:rsidRDefault="00E659D3" w:rsidP="0004522E">
      <w:pPr>
        <w:pStyle w:val="EndnoteText"/>
        <w:ind w:left="360" w:hanging="360"/>
        <w:rPr>
          <w:rFonts w:ascii="Arial" w:hAnsi="Arial" w:cs="Arial"/>
          <w:i/>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Pennsylvania Department of Environmental Protection, Bureau of Watershed Management.  (2006).  </w:t>
      </w:r>
      <w:r w:rsidRPr="0004522E">
        <w:rPr>
          <w:rFonts w:ascii="Arial" w:hAnsi="Arial" w:cs="Arial"/>
          <w:i/>
          <w:sz w:val="18"/>
          <w:szCs w:val="18"/>
        </w:rPr>
        <w:t xml:space="preserve">Pennsylvania Stormwater Best Management Practices Manual.  </w:t>
      </w:r>
      <w:r w:rsidRPr="0004522E">
        <w:rPr>
          <w:rFonts w:ascii="Arial" w:hAnsi="Arial" w:cs="Arial"/>
          <w:sz w:val="18"/>
          <w:szCs w:val="18"/>
        </w:rPr>
        <w:t>685 pp.  Available at</w:t>
      </w:r>
      <w:r>
        <w:rPr>
          <w:rFonts w:ascii="Arial" w:hAnsi="Arial" w:cs="Arial"/>
          <w:sz w:val="18"/>
          <w:szCs w:val="18"/>
        </w:rPr>
        <w:t>:</w:t>
      </w:r>
      <w:r>
        <w:rPr>
          <w:rFonts w:ascii="Arial" w:hAnsi="Arial" w:cs="Arial"/>
          <w:i/>
          <w:sz w:val="18"/>
          <w:szCs w:val="18"/>
        </w:rPr>
        <w:t xml:space="preserve"> </w:t>
      </w:r>
      <w:r w:rsidRPr="0004522E">
        <w:rPr>
          <w:rFonts w:ascii="Arial" w:hAnsi="Arial" w:cs="Arial"/>
          <w:i/>
          <w:sz w:val="18"/>
          <w:szCs w:val="18"/>
        </w:rPr>
        <w:t>&lt;</w:t>
      </w:r>
      <w:hyperlink r:id="rId118" w:history="1">
        <w:r w:rsidRPr="0004522E">
          <w:rPr>
            <w:rStyle w:val="Hyperlink"/>
            <w:rFonts w:ascii="Arial" w:hAnsi="Arial" w:cs="Arial"/>
            <w:color w:val="auto"/>
            <w:sz w:val="18"/>
            <w:szCs w:val="18"/>
          </w:rPr>
          <w:t>http://www.elibrary.dep.state.pa.us/dsweb/View/Collection-8305</w:t>
        </w:r>
      </w:hyperlink>
      <w:r w:rsidRPr="0004522E">
        <w:rPr>
          <w:rFonts w:ascii="Arial" w:hAnsi="Arial" w:cs="Arial"/>
          <w:sz w:val="18"/>
          <w:szCs w:val="18"/>
        </w:rPr>
        <w:t>&gt;.</w:t>
      </w:r>
    </w:p>
  </w:endnote>
  <w:endnote w:id="107">
    <w:p w:rsidR="00E659D3" w:rsidRPr="0004522E" w:rsidRDefault="00E659D3" w:rsidP="0004522E">
      <w:pPr>
        <w:pStyle w:val="EndnoteText"/>
        <w:ind w:left="360" w:hanging="360"/>
        <w:rPr>
          <w:rFonts w:ascii="Arial" w:hAnsi="Arial" w:cs="Arial"/>
          <w:sz w:val="18"/>
          <w:szCs w:val="18"/>
        </w:rPr>
      </w:pPr>
      <w:r w:rsidRPr="0004522E">
        <w:rPr>
          <w:rFonts w:ascii="Arial" w:hAnsi="Arial" w:cs="Arial"/>
          <w:sz w:val="18"/>
          <w:szCs w:val="18"/>
          <w:vertAlign w:val="superscript"/>
        </w:rPr>
        <w:t>8</w:t>
      </w:r>
      <w:r w:rsidRPr="0004522E">
        <w:rPr>
          <w:rFonts w:ascii="Arial" w:hAnsi="Arial" w:cs="Arial"/>
          <w:sz w:val="18"/>
          <w:szCs w:val="18"/>
        </w:rPr>
        <w:t xml:space="preserve">USEPA.  (2006).  </w:t>
      </w:r>
      <w:r w:rsidRPr="0004522E">
        <w:rPr>
          <w:rFonts w:ascii="Arial" w:hAnsi="Arial" w:cs="Arial"/>
          <w:i/>
          <w:sz w:val="18"/>
          <w:szCs w:val="18"/>
        </w:rPr>
        <w:t xml:space="preserve">National Pollutant Discharge Elimination System (NPDES) Menu of BMPs: Stormwater Wetland.  </w:t>
      </w:r>
      <w:r>
        <w:rPr>
          <w:rFonts w:ascii="Arial" w:hAnsi="Arial" w:cs="Arial"/>
          <w:sz w:val="18"/>
          <w:szCs w:val="18"/>
        </w:rPr>
        <w:t xml:space="preserve">Available at: </w:t>
      </w:r>
      <w:r w:rsidRPr="0004522E">
        <w:rPr>
          <w:rFonts w:ascii="Arial" w:hAnsi="Arial" w:cs="Arial"/>
          <w:sz w:val="18"/>
          <w:szCs w:val="18"/>
        </w:rPr>
        <w:t>&lt;</w:t>
      </w:r>
      <w:hyperlink r:id="rId119" w:history="1">
        <w:r w:rsidRPr="0004522E">
          <w:rPr>
            <w:rStyle w:val="Hyperlink"/>
            <w:rFonts w:ascii="Arial" w:hAnsi="Arial" w:cs="Arial"/>
            <w:color w:val="auto"/>
            <w:sz w:val="18"/>
            <w:szCs w:val="18"/>
          </w:rPr>
          <w:t>http://cfpub.epa.gov/npdes/stormwater/menuofbmps/index.cfm?action=factsheet_results&amp;view=specific&amp;bmp=74</w:t>
        </w:r>
      </w:hyperlink>
      <w:r w:rsidRPr="0004522E">
        <w:rPr>
          <w:rFonts w:ascii="Arial" w:hAnsi="Arial" w:cs="Arial"/>
          <w:sz w:val="18"/>
          <w:szCs w:val="18"/>
        </w:rPr>
        <w:t>&gt;.</w:t>
      </w:r>
    </w:p>
  </w:endnote>
  <w:endnote w:id="108">
    <w:p w:rsidR="00E659D3" w:rsidRPr="0004522E" w:rsidRDefault="00E659D3" w:rsidP="0004522E">
      <w:pPr>
        <w:pStyle w:val="EndnoteText"/>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USEPA.  (2006).  </w:t>
      </w:r>
      <w:r w:rsidRPr="0004522E">
        <w:rPr>
          <w:rFonts w:ascii="Arial" w:hAnsi="Arial" w:cs="Arial"/>
          <w:i/>
          <w:sz w:val="18"/>
          <w:szCs w:val="18"/>
        </w:rPr>
        <w:t xml:space="preserve">National Pollutant Discharge Elimination System (NPDES) Menu of BMPs: Stormwater Wetland.  </w:t>
      </w:r>
      <w:r>
        <w:rPr>
          <w:rFonts w:ascii="Arial" w:hAnsi="Arial" w:cs="Arial"/>
          <w:sz w:val="18"/>
          <w:szCs w:val="18"/>
        </w:rPr>
        <w:t xml:space="preserve">Available </w:t>
      </w:r>
      <w:r w:rsidRPr="0004522E">
        <w:rPr>
          <w:rFonts w:ascii="Arial" w:hAnsi="Arial" w:cs="Arial"/>
          <w:sz w:val="18"/>
          <w:szCs w:val="18"/>
        </w:rPr>
        <w:t>at</w:t>
      </w:r>
      <w:r>
        <w:rPr>
          <w:rFonts w:ascii="Arial" w:hAnsi="Arial" w:cs="Arial"/>
          <w:sz w:val="18"/>
          <w:szCs w:val="18"/>
        </w:rPr>
        <w:t>:</w:t>
      </w:r>
      <w:r w:rsidRPr="0004522E">
        <w:rPr>
          <w:rFonts w:ascii="Arial" w:hAnsi="Arial" w:cs="Arial"/>
          <w:sz w:val="18"/>
          <w:szCs w:val="18"/>
        </w:rPr>
        <w:t xml:space="preserve"> &lt;</w:t>
      </w:r>
      <w:hyperlink r:id="rId120" w:history="1">
        <w:r w:rsidRPr="0004522E">
          <w:rPr>
            <w:rStyle w:val="Hyperlink"/>
            <w:rFonts w:ascii="Arial" w:hAnsi="Arial" w:cs="Arial"/>
            <w:color w:val="auto"/>
            <w:sz w:val="18"/>
            <w:szCs w:val="18"/>
          </w:rPr>
          <w:t>http://cfpub.epa.gov/npdes/stormwater/menuofbmps/index.cfm?action=factsheet_results&amp;view=specific&amp;bmp=74</w:t>
        </w:r>
      </w:hyperlink>
      <w:r w:rsidRPr="0004522E">
        <w:rPr>
          <w:rFonts w:ascii="Arial" w:hAnsi="Arial" w:cs="Arial"/>
          <w:sz w:val="18"/>
          <w:szCs w:val="18"/>
        </w:rPr>
        <w:t>&gt;.</w:t>
      </w:r>
    </w:p>
  </w:endnote>
  <w:endnote w:id="109">
    <w:p w:rsidR="00E659D3" w:rsidRPr="0004522E" w:rsidRDefault="00E659D3" w:rsidP="0004522E">
      <w:pPr>
        <w:pStyle w:val="EndnoteText"/>
        <w:ind w:left="360" w:hanging="360"/>
        <w:rPr>
          <w:rFonts w:ascii="Arial" w:hAnsi="Arial" w:cs="Arial"/>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USEPA.  (1995).  </w:t>
      </w:r>
      <w:r w:rsidRPr="0004522E">
        <w:rPr>
          <w:rFonts w:ascii="Arial" w:hAnsi="Arial" w:cs="Arial"/>
          <w:i/>
          <w:sz w:val="18"/>
          <w:szCs w:val="18"/>
        </w:rPr>
        <w:t>Handbook of Constructed Wetlands: General Considerations: Volume 1</w:t>
      </w:r>
      <w:r>
        <w:rPr>
          <w:rFonts w:ascii="Arial" w:hAnsi="Arial" w:cs="Arial"/>
          <w:sz w:val="18"/>
          <w:szCs w:val="18"/>
        </w:rPr>
        <w:t xml:space="preserve">.  53 pp.  Available at: </w:t>
      </w:r>
      <w:r w:rsidRPr="0004522E">
        <w:rPr>
          <w:rFonts w:ascii="Arial" w:hAnsi="Arial" w:cs="Arial"/>
          <w:sz w:val="18"/>
          <w:szCs w:val="18"/>
        </w:rPr>
        <w:t>&lt;</w:t>
      </w:r>
      <w:hyperlink r:id="rId121" w:history="1">
        <w:r w:rsidRPr="0004522E">
          <w:rPr>
            <w:rStyle w:val="Hyperlink"/>
            <w:rFonts w:ascii="Arial" w:hAnsi="Arial" w:cs="Arial"/>
            <w:color w:val="auto"/>
            <w:sz w:val="18"/>
            <w:szCs w:val="18"/>
          </w:rPr>
          <w:t>http://www.epa.gov/owow/wetlands/pdf/hand.pdf</w:t>
        </w:r>
      </w:hyperlink>
      <w:r w:rsidRPr="0004522E">
        <w:rPr>
          <w:rFonts w:ascii="Arial" w:hAnsi="Arial" w:cs="Arial"/>
          <w:sz w:val="18"/>
          <w:szCs w:val="18"/>
        </w:rPr>
        <w:t xml:space="preserve">&gt;.   </w:t>
      </w:r>
    </w:p>
  </w:endnote>
  <w:endnote w:id="110">
    <w:p w:rsidR="00E659D3" w:rsidRPr="0004522E" w:rsidRDefault="00E659D3" w:rsidP="0004522E">
      <w:pPr>
        <w:pStyle w:val="EndnoteText"/>
        <w:ind w:left="360" w:hanging="360"/>
        <w:rPr>
          <w:rFonts w:ascii="Arial" w:hAnsi="Arial" w:cs="Arial"/>
          <w:i/>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Budd, R, O’Geen, A., Goh, K.S, Bondarenko, S. and Gan, J.  (2009).  </w:t>
      </w:r>
      <w:r w:rsidRPr="0004522E">
        <w:rPr>
          <w:rFonts w:ascii="Arial" w:hAnsi="Arial" w:cs="Arial"/>
          <w:i/>
          <w:sz w:val="18"/>
          <w:szCs w:val="18"/>
        </w:rPr>
        <w:t>Efficacy of Constructed</w:t>
      </w:r>
      <w:r>
        <w:rPr>
          <w:rFonts w:ascii="Arial" w:hAnsi="Arial" w:cs="Arial"/>
          <w:i/>
          <w:sz w:val="18"/>
          <w:szCs w:val="18"/>
        </w:rPr>
        <w:t xml:space="preserve"> Wetlands in Pesticide Removal </w:t>
      </w:r>
      <w:r w:rsidRPr="0004522E">
        <w:rPr>
          <w:rFonts w:ascii="Arial" w:hAnsi="Arial" w:cs="Arial"/>
          <w:i/>
          <w:sz w:val="18"/>
          <w:szCs w:val="18"/>
        </w:rPr>
        <w:t xml:space="preserve">from Tailwaters in the Central Valley, California.  </w:t>
      </w:r>
      <w:r w:rsidRPr="0004522E">
        <w:rPr>
          <w:rFonts w:ascii="Arial" w:hAnsi="Arial" w:cs="Arial"/>
          <w:sz w:val="18"/>
          <w:szCs w:val="18"/>
        </w:rPr>
        <w:t>Available at</w:t>
      </w:r>
      <w:r>
        <w:rPr>
          <w:rFonts w:ascii="Arial" w:hAnsi="Arial" w:cs="Arial"/>
          <w:sz w:val="18"/>
          <w:szCs w:val="18"/>
        </w:rPr>
        <w:t>:</w:t>
      </w:r>
      <w:r w:rsidRPr="0004522E">
        <w:rPr>
          <w:rFonts w:ascii="Arial" w:hAnsi="Arial" w:cs="Arial"/>
          <w:sz w:val="18"/>
          <w:szCs w:val="18"/>
        </w:rPr>
        <w:t xml:space="preserve"> &lt;</w:t>
      </w:r>
      <w:hyperlink r:id="rId122" w:history="1">
        <w:r w:rsidRPr="0004522E">
          <w:rPr>
            <w:rStyle w:val="Hyperlink"/>
            <w:rFonts w:ascii="Arial" w:hAnsi="Arial" w:cs="Arial"/>
            <w:color w:val="auto"/>
            <w:sz w:val="18"/>
            <w:szCs w:val="18"/>
          </w:rPr>
          <w:t>http://pubs.acs.org/doi/abs/10.1021/es802958q</w:t>
        </w:r>
      </w:hyperlink>
      <w:r w:rsidRPr="0004522E">
        <w:rPr>
          <w:rFonts w:ascii="Arial" w:hAnsi="Arial" w:cs="Arial"/>
          <w:sz w:val="18"/>
          <w:szCs w:val="18"/>
        </w:rPr>
        <w:t>&gt;.</w:t>
      </w:r>
    </w:p>
  </w:endnote>
  <w:endnote w:id="111">
    <w:p w:rsidR="00E659D3" w:rsidRPr="0004522E" w:rsidRDefault="00E659D3" w:rsidP="0004522E">
      <w:pPr>
        <w:pStyle w:val="EndnoteText"/>
        <w:ind w:left="360" w:hanging="360"/>
        <w:rPr>
          <w:rFonts w:ascii="Arial" w:hAnsi="Arial" w:cs="Arial"/>
          <w:i/>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Pennsylvania Department of Environmental Protection, Bureau of Watershed Management.  (2006).  </w:t>
      </w:r>
      <w:r w:rsidRPr="0004522E">
        <w:rPr>
          <w:rFonts w:ascii="Arial" w:hAnsi="Arial" w:cs="Arial"/>
          <w:i/>
          <w:sz w:val="18"/>
          <w:szCs w:val="18"/>
        </w:rPr>
        <w:t>Pennsylvania St</w:t>
      </w:r>
      <w:r>
        <w:rPr>
          <w:rFonts w:ascii="Arial" w:hAnsi="Arial" w:cs="Arial"/>
          <w:i/>
          <w:sz w:val="18"/>
          <w:szCs w:val="18"/>
        </w:rPr>
        <w:t xml:space="preserve">ormwater </w:t>
      </w:r>
      <w:r w:rsidRPr="0004522E">
        <w:rPr>
          <w:rFonts w:ascii="Arial" w:hAnsi="Arial" w:cs="Arial"/>
          <w:i/>
          <w:sz w:val="18"/>
          <w:szCs w:val="18"/>
        </w:rPr>
        <w:t xml:space="preserve">Best Management Practices Manual.  </w:t>
      </w:r>
      <w:r w:rsidRPr="0004522E">
        <w:rPr>
          <w:rFonts w:ascii="Arial" w:hAnsi="Arial" w:cs="Arial"/>
          <w:sz w:val="18"/>
          <w:szCs w:val="18"/>
        </w:rPr>
        <w:t>685 pp.  Available at</w:t>
      </w:r>
      <w:r>
        <w:rPr>
          <w:rFonts w:ascii="Arial" w:hAnsi="Arial" w:cs="Arial"/>
          <w:sz w:val="18"/>
          <w:szCs w:val="18"/>
        </w:rPr>
        <w:t>:</w:t>
      </w:r>
      <w:r>
        <w:rPr>
          <w:rFonts w:ascii="Arial" w:hAnsi="Arial" w:cs="Arial"/>
          <w:i/>
          <w:sz w:val="18"/>
          <w:szCs w:val="18"/>
        </w:rPr>
        <w:t xml:space="preserve"> </w:t>
      </w:r>
      <w:r w:rsidRPr="0004522E">
        <w:rPr>
          <w:rFonts w:ascii="Arial" w:hAnsi="Arial" w:cs="Arial"/>
          <w:i/>
          <w:sz w:val="18"/>
          <w:szCs w:val="18"/>
        </w:rPr>
        <w:t>&lt;</w:t>
      </w:r>
      <w:hyperlink r:id="rId123" w:history="1">
        <w:r w:rsidRPr="0004522E">
          <w:rPr>
            <w:rStyle w:val="Hyperlink"/>
            <w:rFonts w:ascii="Arial" w:hAnsi="Arial" w:cs="Arial"/>
            <w:color w:val="auto"/>
            <w:sz w:val="18"/>
            <w:szCs w:val="18"/>
          </w:rPr>
          <w:t>http://www.elibrary.dep.state.pa.us/dsweb/View/Collection-8305</w:t>
        </w:r>
      </w:hyperlink>
      <w:r w:rsidRPr="0004522E">
        <w:rPr>
          <w:rFonts w:ascii="Arial" w:hAnsi="Arial" w:cs="Arial"/>
          <w:sz w:val="18"/>
          <w:szCs w:val="18"/>
        </w:rPr>
        <w:t>&gt;.</w:t>
      </w:r>
    </w:p>
  </w:endnote>
  <w:endnote w:id="112">
    <w:p w:rsidR="00E659D3" w:rsidRPr="0004522E" w:rsidRDefault="00E659D3" w:rsidP="0004522E">
      <w:pPr>
        <w:pStyle w:val="EndnoteText"/>
        <w:ind w:left="360" w:hanging="360"/>
        <w:rPr>
          <w:rFonts w:ascii="Arial" w:hAnsi="Arial" w:cs="Arial"/>
          <w:sz w:val="18"/>
          <w:szCs w:val="18"/>
        </w:rPr>
      </w:pPr>
      <w:r w:rsidRPr="0004522E">
        <w:rPr>
          <w:rFonts w:ascii="Arial" w:hAnsi="Arial" w:cs="Arial"/>
          <w:sz w:val="18"/>
          <w:szCs w:val="18"/>
          <w:vertAlign w:val="superscript"/>
        </w:rPr>
        <w:t>13</w:t>
      </w:r>
      <w:r w:rsidRPr="0004522E">
        <w:rPr>
          <w:rFonts w:ascii="Arial" w:hAnsi="Arial" w:cs="Arial"/>
          <w:sz w:val="18"/>
          <w:szCs w:val="18"/>
        </w:rPr>
        <w:t xml:space="preserve">USEPA.  (2006).  </w:t>
      </w:r>
      <w:r w:rsidRPr="0004522E">
        <w:rPr>
          <w:rFonts w:ascii="Arial" w:hAnsi="Arial" w:cs="Arial"/>
          <w:i/>
          <w:sz w:val="18"/>
          <w:szCs w:val="18"/>
        </w:rPr>
        <w:t xml:space="preserve">National Pollutant Discharge Elimination System (NPDES) Menu of BMPs: Stormwater Wetland.  </w:t>
      </w:r>
      <w:r>
        <w:rPr>
          <w:rFonts w:ascii="Arial" w:hAnsi="Arial" w:cs="Arial"/>
          <w:sz w:val="18"/>
          <w:szCs w:val="18"/>
        </w:rPr>
        <w:t xml:space="preserve">Available </w:t>
      </w:r>
      <w:r w:rsidRPr="0004522E">
        <w:rPr>
          <w:rFonts w:ascii="Arial" w:hAnsi="Arial" w:cs="Arial"/>
          <w:sz w:val="18"/>
          <w:szCs w:val="18"/>
        </w:rPr>
        <w:t>at</w:t>
      </w:r>
      <w:r>
        <w:rPr>
          <w:rFonts w:ascii="Arial" w:hAnsi="Arial" w:cs="Arial"/>
          <w:sz w:val="18"/>
          <w:szCs w:val="18"/>
        </w:rPr>
        <w:t>:</w:t>
      </w:r>
      <w:r w:rsidRPr="0004522E">
        <w:rPr>
          <w:rFonts w:ascii="Arial" w:hAnsi="Arial" w:cs="Arial"/>
          <w:sz w:val="18"/>
          <w:szCs w:val="18"/>
        </w:rPr>
        <w:t xml:space="preserve"> &lt;</w:t>
      </w:r>
      <w:hyperlink r:id="rId124" w:history="1">
        <w:r w:rsidRPr="0004522E">
          <w:rPr>
            <w:rStyle w:val="Hyperlink"/>
            <w:rFonts w:ascii="Arial" w:hAnsi="Arial" w:cs="Arial"/>
            <w:color w:val="auto"/>
            <w:sz w:val="18"/>
            <w:szCs w:val="18"/>
          </w:rPr>
          <w:t>http://cfpub.epa.gov/npdes/stormwater/menuofbmps/index.cfm?action=factsheet_results&amp;view=specific&amp;bmp=74</w:t>
        </w:r>
      </w:hyperlink>
      <w:r w:rsidRPr="0004522E">
        <w:rPr>
          <w:rFonts w:ascii="Arial" w:hAnsi="Arial" w:cs="Arial"/>
          <w:sz w:val="18"/>
          <w:szCs w:val="18"/>
        </w:rPr>
        <w:t>&gt;.</w:t>
      </w:r>
    </w:p>
  </w:endnote>
  <w:endnote w:id="113">
    <w:p w:rsidR="00E659D3" w:rsidRPr="0004522E" w:rsidRDefault="00E659D3" w:rsidP="0004522E">
      <w:pPr>
        <w:pStyle w:val="EndnoteText"/>
        <w:ind w:left="360" w:hanging="360"/>
        <w:rPr>
          <w:rFonts w:ascii="Arial" w:hAnsi="Arial" w:cs="Arial"/>
          <w:i/>
          <w:sz w:val="18"/>
          <w:szCs w:val="18"/>
        </w:rPr>
      </w:pPr>
      <w:r w:rsidRPr="0004522E">
        <w:rPr>
          <w:rStyle w:val="EndnoteReference"/>
          <w:rFonts w:ascii="Arial" w:hAnsi="Arial" w:cs="Arial"/>
          <w:sz w:val="18"/>
          <w:szCs w:val="18"/>
        </w:rPr>
        <w:endnoteRef/>
      </w:r>
      <w:r w:rsidRPr="0004522E">
        <w:rPr>
          <w:rFonts w:ascii="Arial" w:hAnsi="Arial" w:cs="Arial"/>
          <w:sz w:val="18"/>
          <w:szCs w:val="18"/>
        </w:rPr>
        <w:t xml:space="preserve"> Pennsylvania Department of Environmental Protection, Bureau of Watershed Management.  (2006).  </w:t>
      </w:r>
      <w:r>
        <w:rPr>
          <w:rFonts w:ascii="Arial" w:hAnsi="Arial" w:cs="Arial"/>
          <w:i/>
          <w:sz w:val="18"/>
          <w:szCs w:val="18"/>
        </w:rPr>
        <w:t xml:space="preserve">Pennsylvania Stormwater </w:t>
      </w:r>
      <w:r w:rsidRPr="0004522E">
        <w:rPr>
          <w:rFonts w:ascii="Arial" w:hAnsi="Arial" w:cs="Arial"/>
          <w:i/>
          <w:sz w:val="18"/>
          <w:szCs w:val="18"/>
        </w:rPr>
        <w:t xml:space="preserve">Best Management Practices Manual.  </w:t>
      </w:r>
      <w:r>
        <w:rPr>
          <w:rFonts w:ascii="Arial" w:hAnsi="Arial" w:cs="Arial"/>
          <w:sz w:val="18"/>
          <w:szCs w:val="18"/>
        </w:rPr>
        <w:t xml:space="preserve">685 pp.  Available at: </w:t>
      </w:r>
      <w:r w:rsidRPr="0004522E">
        <w:rPr>
          <w:rFonts w:ascii="Arial" w:hAnsi="Arial" w:cs="Arial"/>
          <w:i/>
          <w:sz w:val="18"/>
          <w:szCs w:val="18"/>
        </w:rPr>
        <w:t>&lt;</w:t>
      </w:r>
      <w:hyperlink r:id="rId125" w:history="1">
        <w:r w:rsidRPr="0004522E">
          <w:rPr>
            <w:rStyle w:val="Hyperlink"/>
            <w:rFonts w:ascii="Arial" w:hAnsi="Arial" w:cs="Arial"/>
            <w:color w:val="auto"/>
            <w:sz w:val="18"/>
            <w:szCs w:val="18"/>
          </w:rPr>
          <w:t>http://www.elibrary.dep.state.pa.us/dsweb/View/Collection-8305</w:t>
        </w:r>
      </w:hyperlink>
      <w:r w:rsidRPr="0004522E">
        <w:rPr>
          <w:rFonts w:ascii="Arial" w:hAnsi="Arial" w:cs="Arial"/>
          <w:sz w:val="18"/>
          <w:szCs w:val="18"/>
        </w:rPr>
        <w:t>&gt;.</w:t>
      </w:r>
    </w:p>
    <w:p w:rsidR="00E659D3" w:rsidRPr="00ED16C2" w:rsidRDefault="00E659D3" w:rsidP="005F74AA">
      <w:pPr>
        <w:pStyle w:val="EndnoteText"/>
        <w:ind w:left="360"/>
        <w:rPr>
          <w:rFonts w:ascii="Times New Roman" w:hAnsi="Times New Roman"/>
          <w:i/>
          <w:sz w:val="18"/>
          <w:szCs w:val="18"/>
        </w:rPr>
      </w:pPr>
    </w:p>
  </w:endnote>
  <w:endnote w:id="114">
    <w:p w:rsidR="00E659D3" w:rsidRPr="00A1354D" w:rsidRDefault="00E659D3" w:rsidP="00A1354D">
      <w:pPr>
        <w:pStyle w:val="EndnoteText"/>
        <w:ind w:left="360" w:hanging="360"/>
        <w:rPr>
          <w:rFonts w:ascii="Arial" w:hAnsi="Arial" w:cs="Arial"/>
          <w:i/>
          <w:sz w:val="18"/>
          <w:szCs w:val="18"/>
        </w:rPr>
      </w:pPr>
      <w:r w:rsidRPr="00A1354D">
        <w:rPr>
          <w:rStyle w:val="EndnoteReference"/>
          <w:rFonts w:ascii="Arial" w:hAnsi="Arial" w:cs="Arial"/>
          <w:sz w:val="18"/>
          <w:szCs w:val="18"/>
        </w:rPr>
        <w:endnoteRef/>
      </w:r>
      <w:r w:rsidRPr="00A1354D">
        <w:rPr>
          <w:rFonts w:ascii="Arial" w:hAnsi="Arial" w:cs="Arial"/>
          <w:sz w:val="18"/>
          <w:szCs w:val="18"/>
        </w:rPr>
        <w:t xml:space="preserve"> New York State Department of Environmental Conservation. (2010).  </w:t>
      </w:r>
      <w:r w:rsidRPr="00A1354D">
        <w:rPr>
          <w:rFonts w:ascii="Arial" w:hAnsi="Arial" w:cs="Arial"/>
          <w:i/>
          <w:sz w:val="18"/>
          <w:szCs w:val="18"/>
        </w:rPr>
        <w:t>New York State</w:t>
      </w:r>
      <w:r>
        <w:rPr>
          <w:rFonts w:ascii="Arial" w:hAnsi="Arial" w:cs="Arial"/>
          <w:i/>
          <w:sz w:val="18"/>
          <w:szCs w:val="18"/>
        </w:rPr>
        <w:t xml:space="preserve"> Stormwater Management Design </w:t>
      </w:r>
      <w:r w:rsidRPr="00A1354D">
        <w:rPr>
          <w:rFonts w:ascii="Arial" w:hAnsi="Arial" w:cs="Arial"/>
          <w:i/>
          <w:sz w:val="18"/>
          <w:szCs w:val="18"/>
        </w:rPr>
        <w:t>Manual</w:t>
      </w:r>
      <w:r w:rsidRPr="00A1354D">
        <w:rPr>
          <w:rFonts w:ascii="Arial" w:hAnsi="Arial" w:cs="Arial"/>
          <w:sz w:val="18"/>
          <w:szCs w:val="18"/>
        </w:rPr>
        <w:t>. 642 pp. Available at</w:t>
      </w:r>
      <w:r>
        <w:rPr>
          <w:rFonts w:ascii="Arial" w:hAnsi="Arial" w:cs="Arial"/>
          <w:sz w:val="18"/>
          <w:szCs w:val="18"/>
        </w:rPr>
        <w:t>:</w:t>
      </w:r>
      <w:r w:rsidRPr="00A1354D">
        <w:rPr>
          <w:rFonts w:ascii="Arial" w:hAnsi="Arial" w:cs="Arial"/>
          <w:sz w:val="18"/>
          <w:szCs w:val="18"/>
        </w:rPr>
        <w:t xml:space="preserve"> &lt;</w:t>
      </w:r>
      <w:hyperlink r:id="rId126" w:history="1">
        <w:r w:rsidRPr="00A1354D">
          <w:rPr>
            <w:rStyle w:val="Hyperlink"/>
            <w:rFonts w:ascii="Arial" w:hAnsi="Arial" w:cs="Arial"/>
            <w:color w:val="auto"/>
            <w:sz w:val="18"/>
            <w:szCs w:val="18"/>
          </w:rPr>
          <w:t>http://www.dec.ny.gov/chemical/29072.html</w:t>
        </w:r>
      </w:hyperlink>
      <w:r w:rsidRPr="00A1354D">
        <w:rPr>
          <w:rFonts w:ascii="Arial" w:hAnsi="Arial" w:cs="Arial"/>
          <w:sz w:val="18"/>
          <w:szCs w:val="18"/>
        </w:rPr>
        <w:t>&gt;.</w:t>
      </w:r>
    </w:p>
  </w:endnote>
  <w:endnote w:id="115">
    <w:p w:rsidR="00E659D3" w:rsidRPr="00A1354D" w:rsidRDefault="00E659D3" w:rsidP="00A1354D">
      <w:pPr>
        <w:pStyle w:val="EndnoteText"/>
        <w:ind w:left="360" w:hanging="360"/>
        <w:rPr>
          <w:rFonts w:ascii="Arial" w:hAnsi="Arial" w:cs="Arial"/>
          <w:i/>
          <w:sz w:val="18"/>
          <w:szCs w:val="18"/>
        </w:rPr>
      </w:pPr>
      <w:r w:rsidRPr="00A1354D">
        <w:rPr>
          <w:rStyle w:val="EndnoteReference"/>
          <w:rFonts w:ascii="Arial" w:hAnsi="Arial" w:cs="Arial"/>
          <w:sz w:val="18"/>
          <w:szCs w:val="18"/>
        </w:rPr>
        <w:endnoteRef/>
      </w:r>
      <w:r w:rsidRPr="00A1354D">
        <w:rPr>
          <w:rFonts w:ascii="Arial" w:hAnsi="Arial" w:cs="Arial"/>
          <w:sz w:val="18"/>
          <w:szCs w:val="18"/>
        </w:rPr>
        <w:t xml:space="preserve"> New York State Department of Environmental Conservation. (2010).  </w:t>
      </w:r>
      <w:r w:rsidRPr="00A1354D">
        <w:rPr>
          <w:rFonts w:ascii="Arial" w:hAnsi="Arial" w:cs="Arial"/>
          <w:i/>
          <w:sz w:val="18"/>
          <w:szCs w:val="18"/>
        </w:rPr>
        <w:t>New York State</w:t>
      </w:r>
      <w:r>
        <w:rPr>
          <w:rFonts w:ascii="Arial" w:hAnsi="Arial" w:cs="Arial"/>
          <w:i/>
          <w:sz w:val="18"/>
          <w:szCs w:val="18"/>
        </w:rPr>
        <w:t xml:space="preserve"> Stormwater Management Design </w:t>
      </w:r>
      <w:r w:rsidRPr="00A1354D">
        <w:rPr>
          <w:rFonts w:ascii="Arial" w:hAnsi="Arial" w:cs="Arial"/>
          <w:i/>
          <w:sz w:val="18"/>
          <w:szCs w:val="18"/>
        </w:rPr>
        <w:t>Manual</w:t>
      </w:r>
      <w:r w:rsidRPr="00A1354D">
        <w:rPr>
          <w:rFonts w:ascii="Arial" w:hAnsi="Arial" w:cs="Arial"/>
          <w:sz w:val="18"/>
          <w:szCs w:val="18"/>
        </w:rPr>
        <w:t>. 642 pp. Available at</w:t>
      </w:r>
      <w:r>
        <w:rPr>
          <w:rFonts w:ascii="Arial" w:hAnsi="Arial" w:cs="Arial"/>
          <w:sz w:val="18"/>
          <w:szCs w:val="18"/>
        </w:rPr>
        <w:t>:</w:t>
      </w:r>
      <w:r w:rsidRPr="00A1354D">
        <w:rPr>
          <w:rFonts w:ascii="Arial" w:hAnsi="Arial" w:cs="Arial"/>
          <w:sz w:val="18"/>
          <w:szCs w:val="18"/>
        </w:rPr>
        <w:t xml:space="preserve"> &lt;</w:t>
      </w:r>
      <w:hyperlink r:id="rId127" w:history="1">
        <w:r w:rsidRPr="00A1354D">
          <w:rPr>
            <w:rStyle w:val="Hyperlink"/>
            <w:rFonts w:ascii="Arial" w:hAnsi="Arial" w:cs="Arial"/>
            <w:color w:val="auto"/>
            <w:sz w:val="18"/>
            <w:szCs w:val="18"/>
          </w:rPr>
          <w:t>http://www.dec.ny.gov/chemical/29072.html</w:t>
        </w:r>
      </w:hyperlink>
      <w:r w:rsidRPr="00A1354D">
        <w:rPr>
          <w:rFonts w:ascii="Arial" w:hAnsi="Arial" w:cs="Arial"/>
          <w:sz w:val="18"/>
          <w:szCs w:val="18"/>
        </w:rPr>
        <w:t>&gt;.</w:t>
      </w:r>
    </w:p>
  </w:endnote>
  <w:endnote w:id="116">
    <w:p w:rsidR="00E659D3" w:rsidRPr="00A1354D" w:rsidRDefault="00E659D3" w:rsidP="00A1354D">
      <w:pPr>
        <w:pStyle w:val="EndnoteText"/>
        <w:ind w:left="360" w:hanging="360"/>
        <w:rPr>
          <w:rFonts w:ascii="Arial" w:hAnsi="Arial" w:cs="Arial"/>
          <w:sz w:val="18"/>
          <w:szCs w:val="18"/>
        </w:rPr>
      </w:pPr>
      <w:r w:rsidRPr="00A1354D">
        <w:rPr>
          <w:rStyle w:val="EndnoteReference"/>
          <w:rFonts w:ascii="Arial" w:hAnsi="Arial" w:cs="Arial"/>
          <w:sz w:val="18"/>
          <w:szCs w:val="18"/>
        </w:rPr>
        <w:endnoteRef/>
      </w:r>
      <w:r w:rsidRPr="00A1354D">
        <w:rPr>
          <w:rFonts w:ascii="Arial" w:hAnsi="Arial" w:cs="Arial"/>
          <w:sz w:val="18"/>
          <w:szCs w:val="18"/>
        </w:rPr>
        <w:t xml:space="preserve"> Water world.  (2008).  </w:t>
      </w:r>
      <w:r w:rsidRPr="00A1354D">
        <w:rPr>
          <w:rFonts w:ascii="Arial" w:hAnsi="Arial" w:cs="Arial"/>
          <w:i/>
          <w:sz w:val="18"/>
          <w:szCs w:val="18"/>
        </w:rPr>
        <w:t xml:space="preserve">Tree Filter Systems for Effective Urban Stormwater Management.  </w:t>
      </w:r>
      <w:r>
        <w:rPr>
          <w:rFonts w:ascii="Arial" w:hAnsi="Arial" w:cs="Arial"/>
          <w:sz w:val="18"/>
          <w:szCs w:val="18"/>
        </w:rPr>
        <w:t xml:space="preserve">Available at: </w:t>
      </w:r>
      <w:r w:rsidRPr="00A1354D">
        <w:rPr>
          <w:rFonts w:ascii="Arial" w:hAnsi="Arial" w:cs="Arial"/>
          <w:sz w:val="18"/>
          <w:szCs w:val="18"/>
        </w:rPr>
        <w:t>&lt;</w:t>
      </w:r>
      <w:hyperlink r:id="rId128" w:history="1">
        <w:r w:rsidRPr="00A1354D">
          <w:rPr>
            <w:rStyle w:val="Hyperlink"/>
            <w:rFonts w:ascii="Arial" w:hAnsi="Arial" w:cs="Arial"/>
            <w:color w:val="auto"/>
            <w:sz w:val="18"/>
            <w:szCs w:val="18"/>
          </w:rPr>
          <w:t>http://www.waterworld.com/index/display/article-display/articles/urban-water-management/volume-4/issue-4/features/tree-filter-systems-for-effective-urban-stormwater-management_.html</w:t>
        </w:r>
      </w:hyperlink>
      <w:r w:rsidRPr="00A1354D">
        <w:rPr>
          <w:rFonts w:ascii="Arial" w:hAnsi="Arial" w:cs="Arial"/>
          <w:sz w:val="18"/>
          <w:szCs w:val="18"/>
        </w:rPr>
        <w:t>&gt;</w:t>
      </w:r>
    </w:p>
  </w:endnote>
  <w:endnote w:id="117">
    <w:p w:rsidR="00E659D3" w:rsidRPr="00A1354D" w:rsidRDefault="00E659D3" w:rsidP="00A1354D">
      <w:pPr>
        <w:pStyle w:val="EndnoteText"/>
        <w:ind w:left="360" w:hanging="360"/>
        <w:rPr>
          <w:rFonts w:ascii="Arial" w:hAnsi="Arial" w:cs="Arial"/>
          <w:sz w:val="18"/>
          <w:szCs w:val="18"/>
        </w:rPr>
      </w:pPr>
      <w:r w:rsidRPr="00A1354D">
        <w:rPr>
          <w:rStyle w:val="EndnoteReference"/>
          <w:rFonts w:ascii="Arial" w:hAnsi="Arial" w:cs="Arial"/>
          <w:sz w:val="18"/>
          <w:szCs w:val="18"/>
        </w:rPr>
        <w:endnoteRef/>
      </w:r>
      <w:r w:rsidRPr="00A1354D">
        <w:rPr>
          <w:rFonts w:ascii="Arial" w:hAnsi="Arial" w:cs="Arial"/>
          <w:sz w:val="18"/>
          <w:szCs w:val="18"/>
        </w:rPr>
        <w:t xml:space="preserve"> Water world.  (2008).  </w:t>
      </w:r>
      <w:r w:rsidRPr="00A1354D">
        <w:rPr>
          <w:rFonts w:ascii="Arial" w:hAnsi="Arial" w:cs="Arial"/>
          <w:i/>
          <w:sz w:val="18"/>
          <w:szCs w:val="18"/>
        </w:rPr>
        <w:t xml:space="preserve">Tree Filter Systems for Effective Urban Stormwater Management.  </w:t>
      </w:r>
      <w:r>
        <w:rPr>
          <w:rFonts w:ascii="Arial" w:hAnsi="Arial" w:cs="Arial"/>
          <w:sz w:val="18"/>
          <w:szCs w:val="18"/>
        </w:rPr>
        <w:t xml:space="preserve">Available at: </w:t>
      </w:r>
      <w:r w:rsidRPr="00A1354D">
        <w:rPr>
          <w:rFonts w:ascii="Arial" w:hAnsi="Arial" w:cs="Arial"/>
          <w:sz w:val="18"/>
          <w:szCs w:val="18"/>
        </w:rPr>
        <w:t>&lt;</w:t>
      </w:r>
      <w:hyperlink r:id="rId129" w:history="1">
        <w:r w:rsidRPr="00A1354D">
          <w:rPr>
            <w:rStyle w:val="Hyperlink"/>
            <w:rFonts w:ascii="Arial" w:hAnsi="Arial" w:cs="Arial"/>
            <w:color w:val="auto"/>
            <w:sz w:val="18"/>
            <w:szCs w:val="18"/>
          </w:rPr>
          <w:t>http://www.waterworld.com/index/display/article-display/articles/urban-water-management/volume-4/issue-4/features/tree-filter-systems-for-effective-urban-stormwater-management_.html</w:t>
        </w:r>
      </w:hyperlink>
      <w:r w:rsidRPr="00A1354D">
        <w:rPr>
          <w:rFonts w:ascii="Arial" w:hAnsi="Arial" w:cs="Arial"/>
          <w:sz w:val="18"/>
          <w:szCs w:val="18"/>
        </w:rPr>
        <w:t>&gt;</w:t>
      </w:r>
    </w:p>
  </w:endnote>
  <w:endnote w:id="118">
    <w:p w:rsidR="00E659D3" w:rsidRPr="00A1354D" w:rsidRDefault="00E659D3" w:rsidP="00A1354D">
      <w:pPr>
        <w:pStyle w:val="EndnoteText"/>
        <w:ind w:left="360" w:hanging="360"/>
        <w:rPr>
          <w:rFonts w:ascii="Arial" w:hAnsi="Arial" w:cs="Arial"/>
          <w:i/>
          <w:sz w:val="18"/>
          <w:szCs w:val="18"/>
        </w:rPr>
      </w:pPr>
      <w:r w:rsidRPr="00A1354D">
        <w:rPr>
          <w:rStyle w:val="EndnoteReference"/>
          <w:rFonts w:ascii="Arial" w:hAnsi="Arial" w:cs="Arial"/>
          <w:sz w:val="18"/>
          <w:szCs w:val="18"/>
        </w:rPr>
        <w:endnoteRef/>
      </w:r>
      <w:r w:rsidRPr="00A1354D">
        <w:rPr>
          <w:rFonts w:ascii="Arial" w:hAnsi="Arial" w:cs="Arial"/>
          <w:sz w:val="18"/>
          <w:szCs w:val="18"/>
        </w:rPr>
        <w:t xml:space="preserve"> New York State Department of Environmental Conservation. (2010).  </w:t>
      </w:r>
      <w:r w:rsidRPr="00A1354D">
        <w:rPr>
          <w:rFonts w:ascii="Arial" w:hAnsi="Arial" w:cs="Arial"/>
          <w:i/>
          <w:sz w:val="18"/>
          <w:szCs w:val="18"/>
        </w:rPr>
        <w:t>New York State</w:t>
      </w:r>
      <w:r>
        <w:rPr>
          <w:rFonts w:ascii="Arial" w:hAnsi="Arial" w:cs="Arial"/>
          <w:i/>
          <w:sz w:val="18"/>
          <w:szCs w:val="18"/>
        </w:rPr>
        <w:t xml:space="preserve"> Stormwater Management Design </w:t>
      </w:r>
      <w:r w:rsidRPr="00A1354D">
        <w:rPr>
          <w:rFonts w:ascii="Arial" w:hAnsi="Arial" w:cs="Arial"/>
          <w:i/>
          <w:sz w:val="18"/>
          <w:szCs w:val="18"/>
        </w:rPr>
        <w:t>Manual</w:t>
      </w:r>
      <w:r w:rsidRPr="00A1354D">
        <w:rPr>
          <w:rFonts w:ascii="Arial" w:hAnsi="Arial" w:cs="Arial"/>
          <w:sz w:val="18"/>
          <w:szCs w:val="18"/>
        </w:rPr>
        <w:t>. 642 pp. Available at</w:t>
      </w:r>
      <w:r>
        <w:rPr>
          <w:rFonts w:ascii="Arial" w:hAnsi="Arial" w:cs="Arial"/>
          <w:sz w:val="18"/>
          <w:szCs w:val="18"/>
        </w:rPr>
        <w:t>:</w:t>
      </w:r>
      <w:r w:rsidRPr="00A1354D">
        <w:rPr>
          <w:rFonts w:ascii="Arial" w:hAnsi="Arial" w:cs="Arial"/>
          <w:sz w:val="18"/>
          <w:szCs w:val="18"/>
        </w:rPr>
        <w:t xml:space="preserve"> &lt;</w:t>
      </w:r>
      <w:hyperlink r:id="rId130" w:history="1">
        <w:r w:rsidRPr="00A1354D">
          <w:rPr>
            <w:rStyle w:val="Hyperlink"/>
            <w:rFonts w:ascii="Arial" w:hAnsi="Arial" w:cs="Arial"/>
            <w:color w:val="auto"/>
            <w:sz w:val="18"/>
            <w:szCs w:val="18"/>
          </w:rPr>
          <w:t>http://www.dec.ny.gov/chemical/29072.html</w:t>
        </w:r>
      </w:hyperlink>
      <w:r w:rsidRPr="00A1354D">
        <w:rPr>
          <w:rFonts w:ascii="Arial" w:hAnsi="Arial" w:cs="Arial"/>
          <w:sz w:val="18"/>
          <w:szCs w:val="18"/>
        </w:rPr>
        <w:t>&gt;.</w:t>
      </w:r>
    </w:p>
  </w:endnote>
  <w:endnote w:id="119">
    <w:p w:rsidR="00E659D3" w:rsidRPr="00A1354D" w:rsidRDefault="00E659D3" w:rsidP="00A1354D">
      <w:pPr>
        <w:pStyle w:val="EndnoteText"/>
        <w:ind w:left="360" w:hanging="360"/>
        <w:rPr>
          <w:rFonts w:ascii="Arial" w:hAnsi="Arial" w:cs="Arial"/>
          <w:i/>
          <w:sz w:val="18"/>
          <w:szCs w:val="18"/>
        </w:rPr>
      </w:pPr>
      <w:r w:rsidRPr="00A1354D">
        <w:rPr>
          <w:rStyle w:val="EndnoteReference"/>
          <w:rFonts w:ascii="Arial" w:hAnsi="Arial" w:cs="Arial"/>
          <w:sz w:val="18"/>
          <w:szCs w:val="18"/>
        </w:rPr>
        <w:endnoteRef/>
      </w:r>
      <w:r w:rsidRPr="00A1354D">
        <w:rPr>
          <w:rFonts w:ascii="Arial" w:hAnsi="Arial" w:cs="Arial"/>
          <w:sz w:val="18"/>
          <w:szCs w:val="18"/>
        </w:rPr>
        <w:t xml:space="preserve"> New York State Department of Environmental Conservation. (2010).  </w:t>
      </w:r>
      <w:r w:rsidRPr="00A1354D">
        <w:rPr>
          <w:rFonts w:ascii="Arial" w:hAnsi="Arial" w:cs="Arial"/>
          <w:i/>
          <w:sz w:val="18"/>
          <w:szCs w:val="18"/>
        </w:rPr>
        <w:t>New York State</w:t>
      </w:r>
      <w:r>
        <w:rPr>
          <w:rFonts w:ascii="Arial" w:hAnsi="Arial" w:cs="Arial"/>
          <w:i/>
          <w:sz w:val="18"/>
          <w:szCs w:val="18"/>
        </w:rPr>
        <w:t xml:space="preserve"> Stormwater Management Design </w:t>
      </w:r>
      <w:r w:rsidRPr="00A1354D">
        <w:rPr>
          <w:rFonts w:ascii="Arial" w:hAnsi="Arial" w:cs="Arial"/>
          <w:i/>
          <w:sz w:val="18"/>
          <w:szCs w:val="18"/>
        </w:rPr>
        <w:t>Manual</w:t>
      </w:r>
      <w:r w:rsidRPr="00A1354D">
        <w:rPr>
          <w:rFonts w:ascii="Arial" w:hAnsi="Arial" w:cs="Arial"/>
          <w:sz w:val="18"/>
          <w:szCs w:val="18"/>
        </w:rPr>
        <w:t>. 642 pp. Available at</w:t>
      </w:r>
      <w:r>
        <w:rPr>
          <w:rFonts w:ascii="Arial" w:hAnsi="Arial" w:cs="Arial"/>
          <w:sz w:val="18"/>
          <w:szCs w:val="18"/>
        </w:rPr>
        <w:t>:</w:t>
      </w:r>
      <w:r w:rsidRPr="00A1354D">
        <w:rPr>
          <w:rFonts w:ascii="Arial" w:hAnsi="Arial" w:cs="Arial"/>
          <w:sz w:val="18"/>
          <w:szCs w:val="18"/>
        </w:rPr>
        <w:t xml:space="preserve"> &lt;</w:t>
      </w:r>
      <w:hyperlink r:id="rId131" w:history="1">
        <w:r w:rsidRPr="00A1354D">
          <w:rPr>
            <w:rStyle w:val="Hyperlink"/>
            <w:rFonts w:ascii="Arial" w:hAnsi="Arial" w:cs="Arial"/>
            <w:color w:val="auto"/>
            <w:sz w:val="18"/>
            <w:szCs w:val="18"/>
          </w:rPr>
          <w:t>http://www.dec.ny.gov/chemical/29072.html</w:t>
        </w:r>
      </w:hyperlink>
      <w:r w:rsidRPr="00A1354D">
        <w:rPr>
          <w:rFonts w:ascii="Arial" w:hAnsi="Arial" w:cs="Arial"/>
          <w:sz w:val="18"/>
          <w:szCs w:val="18"/>
        </w:rPr>
        <w:t>&gt;.</w:t>
      </w:r>
    </w:p>
  </w:endnote>
  <w:endnote w:id="120">
    <w:p w:rsidR="00E659D3" w:rsidRPr="00A1354D" w:rsidRDefault="00E659D3" w:rsidP="00A1354D">
      <w:pPr>
        <w:pStyle w:val="EndnoteText"/>
        <w:ind w:left="360" w:hanging="360"/>
        <w:rPr>
          <w:rFonts w:ascii="Arial" w:hAnsi="Arial" w:cs="Arial"/>
          <w:sz w:val="18"/>
          <w:szCs w:val="18"/>
        </w:rPr>
      </w:pPr>
      <w:r w:rsidRPr="00A1354D">
        <w:rPr>
          <w:rStyle w:val="EndnoteReference"/>
          <w:rFonts w:ascii="Arial" w:hAnsi="Arial" w:cs="Arial"/>
          <w:sz w:val="18"/>
          <w:szCs w:val="18"/>
        </w:rPr>
        <w:endnoteRef/>
      </w:r>
      <w:r w:rsidRPr="00A1354D">
        <w:rPr>
          <w:rFonts w:ascii="Arial" w:hAnsi="Arial" w:cs="Arial"/>
          <w:sz w:val="18"/>
          <w:szCs w:val="18"/>
        </w:rPr>
        <w:t xml:space="preserve"> Plumb, M. (2008). </w:t>
      </w:r>
      <w:r w:rsidRPr="00A1354D">
        <w:rPr>
          <w:rFonts w:ascii="Arial" w:hAnsi="Arial" w:cs="Arial"/>
          <w:i/>
          <w:sz w:val="18"/>
          <w:szCs w:val="18"/>
        </w:rPr>
        <w:t xml:space="preserve">Sustainable Raindrops: Cleaning New York Harbor by Greening the Urban Landscape.  </w:t>
      </w:r>
      <w:r w:rsidRPr="00A1354D">
        <w:rPr>
          <w:rFonts w:ascii="Arial" w:hAnsi="Arial" w:cs="Arial"/>
          <w:sz w:val="18"/>
          <w:szCs w:val="18"/>
        </w:rPr>
        <w:t xml:space="preserve">40 pp.  Available at: &lt; </w:t>
      </w:r>
      <w:hyperlink r:id="rId132" w:history="1">
        <w:r w:rsidRPr="00A1354D">
          <w:rPr>
            <w:rStyle w:val="Hyperlink"/>
            <w:rFonts w:ascii="Arial" w:hAnsi="Arial" w:cs="Arial"/>
            <w:color w:val="auto"/>
            <w:sz w:val="18"/>
            <w:szCs w:val="18"/>
          </w:rPr>
          <w:t>http://www.riverkeeper.org/wp-content/uploads/2009/06/Sustainable-Raindrops-Report-1-8-08.pdf</w:t>
        </w:r>
      </w:hyperlink>
      <w:r w:rsidRPr="00A1354D">
        <w:rPr>
          <w:rFonts w:ascii="Arial" w:hAnsi="Arial" w:cs="Arial"/>
          <w:sz w:val="18"/>
          <w:szCs w:val="18"/>
        </w:rPr>
        <w:t>&gt;.</w:t>
      </w:r>
    </w:p>
  </w:endnote>
  <w:endnote w:id="121">
    <w:p w:rsidR="00E659D3" w:rsidRPr="00A1354D" w:rsidRDefault="00E659D3" w:rsidP="00A1354D">
      <w:pPr>
        <w:pStyle w:val="EndnoteText"/>
        <w:ind w:left="360" w:hanging="360"/>
        <w:rPr>
          <w:rFonts w:ascii="Arial" w:hAnsi="Arial" w:cs="Arial"/>
          <w:sz w:val="18"/>
          <w:szCs w:val="18"/>
        </w:rPr>
      </w:pPr>
      <w:r w:rsidRPr="00A1354D">
        <w:rPr>
          <w:rStyle w:val="EndnoteReference"/>
          <w:rFonts w:ascii="Arial" w:hAnsi="Arial" w:cs="Arial"/>
          <w:sz w:val="18"/>
          <w:szCs w:val="18"/>
        </w:rPr>
        <w:endnoteRef/>
      </w:r>
      <w:r w:rsidRPr="00A1354D">
        <w:rPr>
          <w:rFonts w:ascii="Arial" w:hAnsi="Arial" w:cs="Arial"/>
          <w:sz w:val="18"/>
          <w:szCs w:val="18"/>
        </w:rPr>
        <w:t xml:space="preserve"> Plumb, M. (2008). </w:t>
      </w:r>
      <w:r w:rsidRPr="00A1354D">
        <w:rPr>
          <w:rFonts w:ascii="Arial" w:hAnsi="Arial" w:cs="Arial"/>
          <w:i/>
          <w:sz w:val="18"/>
          <w:szCs w:val="18"/>
        </w:rPr>
        <w:t xml:space="preserve">Sustainable Raindrops: Cleaning New York Harbor by Greening the Urban Landscape.  </w:t>
      </w:r>
      <w:r w:rsidRPr="00A1354D">
        <w:rPr>
          <w:rFonts w:ascii="Arial" w:hAnsi="Arial" w:cs="Arial"/>
          <w:sz w:val="18"/>
          <w:szCs w:val="18"/>
        </w:rPr>
        <w:t xml:space="preserve">40 pp.  Available at: &lt; </w:t>
      </w:r>
      <w:hyperlink r:id="rId133" w:history="1">
        <w:r w:rsidRPr="00A1354D">
          <w:rPr>
            <w:rStyle w:val="Hyperlink"/>
            <w:rFonts w:ascii="Arial" w:hAnsi="Arial" w:cs="Arial"/>
            <w:color w:val="auto"/>
            <w:sz w:val="18"/>
            <w:szCs w:val="18"/>
          </w:rPr>
          <w:t>http://www.riverkeeper.org/wp-content/uploads/2009/06/Sustainable-Raindrops-Report-1-8-08.pdf</w:t>
        </w:r>
      </w:hyperlink>
      <w:r w:rsidRPr="00A1354D">
        <w:rPr>
          <w:rFonts w:ascii="Arial" w:hAnsi="Arial" w:cs="Arial"/>
          <w:sz w:val="18"/>
          <w:szCs w:val="18"/>
        </w:rPr>
        <w:t>&gt;.</w:t>
      </w:r>
    </w:p>
  </w:endnote>
  <w:endnote w:id="122">
    <w:p w:rsidR="00E659D3" w:rsidRPr="00A1354D" w:rsidRDefault="00E659D3" w:rsidP="00A1354D">
      <w:pPr>
        <w:pStyle w:val="EndnoteText"/>
        <w:ind w:left="360" w:hanging="360"/>
        <w:rPr>
          <w:rFonts w:ascii="Arial" w:hAnsi="Arial" w:cs="Arial"/>
          <w:i/>
          <w:sz w:val="18"/>
          <w:szCs w:val="18"/>
        </w:rPr>
      </w:pPr>
      <w:r w:rsidRPr="00A1354D">
        <w:rPr>
          <w:rStyle w:val="EndnoteReference"/>
          <w:rFonts w:ascii="Arial" w:hAnsi="Arial" w:cs="Arial"/>
          <w:sz w:val="18"/>
          <w:szCs w:val="18"/>
        </w:rPr>
        <w:endnoteRef/>
      </w:r>
      <w:r w:rsidRPr="00A1354D">
        <w:rPr>
          <w:rFonts w:ascii="Arial" w:hAnsi="Arial" w:cs="Arial"/>
          <w:sz w:val="18"/>
          <w:szCs w:val="18"/>
        </w:rPr>
        <w:t xml:space="preserve"> USEPA.  (2006).  </w:t>
      </w:r>
      <w:r w:rsidRPr="00A1354D">
        <w:rPr>
          <w:rFonts w:ascii="Arial" w:hAnsi="Arial" w:cs="Arial"/>
          <w:i/>
          <w:sz w:val="18"/>
          <w:szCs w:val="18"/>
        </w:rPr>
        <w:t xml:space="preserve">National Pollutant Discharge Elimination System (NPDES) Menu of BMPs: Reforestation Programs.  </w:t>
      </w:r>
      <w:r w:rsidRPr="00A1354D">
        <w:rPr>
          <w:rFonts w:ascii="Arial" w:hAnsi="Arial" w:cs="Arial"/>
          <w:sz w:val="18"/>
          <w:szCs w:val="18"/>
        </w:rPr>
        <w:t>Available at</w:t>
      </w:r>
      <w:r>
        <w:rPr>
          <w:rFonts w:ascii="Arial" w:hAnsi="Arial" w:cs="Arial"/>
          <w:sz w:val="18"/>
          <w:szCs w:val="18"/>
        </w:rPr>
        <w:t>:</w:t>
      </w:r>
      <w:r w:rsidRPr="00A1354D">
        <w:rPr>
          <w:rFonts w:ascii="Arial" w:hAnsi="Arial" w:cs="Arial"/>
          <w:sz w:val="18"/>
          <w:szCs w:val="18"/>
        </w:rPr>
        <w:t xml:space="preserve"> </w:t>
      </w:r>
      <w:r w:rsidRPr="002946E1">
        <w:rPr>
          <w:rFonts w:ascii="Arial" w:hAnsi="Arial" w:cs="Arial"/>
          <w:spacing w:val="-2"/>
          <w:sz w:val="18"/>
          <w:szCs w:val="18"/>
        </w:rPr>
        <w:t>&lt;</w:t>
      </w:r>
      <w:hyperlink r:id="rId134" w:history="1">
        <w:r w:rsidRPr="002946E1">
          <w:rPr>
            <w:rStyle w:val="Hyperlink"/>
            <w:rFonts w:ascii="Arial" w:hAnsi="Arial" w:cs="Arial"/>
            <w:color w:val="auto"/>
            <w:spacing w:val="-2"/>
            <w:sz w:val="18"/>
            <w:szCs w:val="18"/>
          </w:rPr>
          <w:t>http://cfpub.epa.gov/npdes/stormwater/menuofbmps/index.cfm?action=factsheet_results&amp;view=specific&amp;bmp=18</w:t>
        </w:r>
      </w:hyperlink>
      <w:r w:rsidRPr="002946E1">
        <w:rPr>
          <w:rFonts w:ascii="Arial" w:hAnsi="Arial" w:cs="Arial"/>
          <w:spacing w:val="-2"/>
          <w:sz w:val="18"/>
          <w:szCs w:val="18"/>
        </w:rPr>
        <w:t>&gt;</w:t>
      </w:r>
    </w:p>
  </w:endnote>
  <w:endnote w:id="123">
    <w:p w:rsidR="00E659D3" w:rsidRPr="00A1354D" w:rsidRDefault="00E659D3" w:rsidP="00A1354D">
      <w:pPr>
        <w:pStyle w:val="EndnoteText"/>
        <w:ind w:left="360" w:hanging="360"/>
        <w:rPr>
          <w:rFonts w:ascii="Arial" w:hAnsi="Arial" w:cs="Arial"/>
          <w:i/>
          <w:sz w:val="18"/>
          <w:szCs w:val="18"/>
        </w:rPr>
      </w:pPr>
      <w:r w:rsidRPr="00A1354D">
        <w:rPr>
          <w:rStyle w:val="EndnoteReference"/>
          <w:rFonts w:ascii="Arial" w:hAnsi="Arial" w:cs="Arial"/>
          <w:sz w:val="18"/>
          <w:szCs w:val="18"/>
        </w:rPr>
        <w:endnoteRef/>
      </w:r>
      <w:r w:rsidRPr="00A1354D">
        <w:rPr>
          <w:rFonts w:ascii="Arial" w:hAnsi="Arial" w:cs="Arial"/>
          <w:sz w:val="18"/>
          <w:szCs w:val="18"/>
        </w:rPr>
        <w:t xml:space="preserve"> USEPA.  (2006).  </w:t>
      </w:r>
      <w:r w:rsidRPr="00A1354D">
        <w:rPr>
          <w:rFonts w:ascii="Arial" w:hAnsi="Arial" w:cs="Arial"/>
          <w:i/>
          <w:sz w:val="18"/>
          <w:szCs w:val="18"/>
        </w:rPr>
        <w:t xml:space="preserve">National Pollutant Discharge Elimination System (NPDES) Menu of BMPs: Reforestation Programs.  </w:t>
      </w:r>
      <w:r w:rsidRPr="00A1354D">
        <w:rPr>
          <w:rFonts w:ascii="Arial" w:hAnsi="Arial" w:cs="Arial"/>
          <w:sz w:val="18"/>
          <w:szCs w:val="18"/>
        </w:rPr>
        <w:t>Available at</w:t>
      </w:r>
      <w:r>
        <w:rPr>
          <w:rFonts w:ascii="Arial" w:hAnsi="Arial" w:cs="Arial"/>
          <w:sz w:val="18"/>
          <w:szCs w:val="18"/>
        </w:rPr>
        <w:t>:</w:t>
      </w:r>
      <w:r w:rsidRPr="00A1354D">
        <w:rPr>
          <w:rFonts w:ascii="Arial" w:hAnsi="Arial" w:cs="Arial"/>
          <w:sz w:val="18"/>
          <w:szCs w:val="18"/>
        </w:rPr>
        <w:t xml:space="preserve"> </w:t>
      </w:r>
      <w:r w:rsidRPr="002946E1">
        <w:rPr>
          <w:rFonts w:ascii="Arial" w:hAnsi="Arial" w:cs="Arial"/>
          <w:spacing w:val="-2"/>
          <w:sz w:val="18"/>
          <w:szCs w:val="18"/>
        </w:rPr>
        <w:t>&lt;</w:t>
      </w:r>
      <w:hyperlink r:id="rId135" w:history="1">
        <w:r w:rsidRPr="002946E1">
          <w:rPr>
            <w:rStyle w:val="Hyperlink"/>
            <w:rFonts w:ascii="Arial" w:hAnsi="Arial" w:cs="Arial"/>
            <w:color w:val="auto"/>
            <w:spacing w:val="-2"/>
            <w:sz w:val="18"/>
            <w:szCs w:val="18"/>
          </w:rPr>
          <w:t>http://cfpub.epa.gov/npdes/stormwater/menuofbmps/index.cfm?action=factsheet_results&amp;view=specific&amp;bmp=18</w:t>
        </w:r>
      </w:hyperlink>
    </w:p>
  </w:endnote>
  <w:endnote w:id="124">
    <w:p w:rsidR="00E659D3" w:rsidRPr="00A1354D" w:rsidRDefault="00E659D3" w:rsidP="00A1354D">
      <w:pPr>
        <w:pStyle w:val="EndnoteText"/>
        <w:ind w:left="360" w:hanging="360"/>
        <w:rPr>
          <w:rFonts w:ascii="Arial" w:hAnsi="Arial" w:cs="Arial"/>
          <w:i/>
          <w:sz w:val="18"/>
          <w:szCs w:val="18"/>
        </w:rPr>
      </w:pPr>
      <w:r w:rsidRPr="00A1354D">
        <w:rPr>
          <w:rStyle w:val="EndnoteReference"/>
          <w:rFonts w:ascii="Arial" w:hAnsi="Arial" w:cs="Arial"/>
          <w:sz w:val="18"/>
          <w:szCs w:val="18"/>
        </w:rPr>
        <w:endnoteRef/>
      </w:r>
      <w:r w:rsidRPr="00A1354D">
        <w:rPr>
          <w:rFonts w:ascii="Arial" w:hAnsi="Arial" w:cs="Arial"/>
          <w:sz w:val="18"/>
          <w:szCs w:val="18"/>
        </w:rPr>
        <w:t xml:space="preserve"> USEPA.  (2006).  </w:t>
      </w:r>
      <w:r w:rsidRPr="00A1354D">
        <w:rPr>
          <w:rFonts w:ascii="Arial" w:hAnsi="Arial" w:cs="Arial"/>
          <w:i/>
          <w:sz w:val="18"/>
          <w:szCs w:val="18"/>
        </w:rPr>
        <w:t xml:space="preserve">National Pollutant Discharge Elimination System (NPDES) Menu of BMPs: Reforestation Programs.  </w:t>
      </w:r>
      <w:r w:rsidRPr="00A1354D">
        <w:rPr>
          <w:rFonts w:ascii="Arial" w:hAnsi="Arial" w:cs="Arial"/>
          <w:sz w:val="18"/>
          <w:szCs w:val="18"/>
        </w:rPr>
        <w:t>Available at</w:t>
      </w:r>
      <w:r>
        <w:rPr>
          <w:rFonts w:ascii="Arial" w:hAnsi="Arial" w:cs="Arial"/>
          <w:sz w:val="18"/>
          <w:szCs w:val="18"/>
        </w:rPr>
        <w:t>:</w:t>
      </w:r>
      <w:r w:rsidRPr="00A1354D">
        <w:rPr>
          <w:rFonts w:ascii="Arial" w:hAnsi="Arial" w:cs="Arial"/>
          <w:sz w:val="18"/>
          <w:szCs w:val="18"/>
        </w:rPr>
        <w:t xml:space="preserve"> &lt;</w:t>
      </w:r>
      <w:hyperlink r:id="rId136" w:history="1">
        <w:r w:rsidRPr="00A1354D">
          <w:rPr>
            <w:rStyle w:val="Hyperlink"/>
            <w:rFonts w:ascii="Arial" w:hAnsi="Arial" w:cs="Arial"/>
            <w:color w:val="auto"/>
            <w:sz w:val="18"/>
            <w:szCs w:val="18"/>
          </w:rPr>
          <w:t>http://cfpub.epa.gov/npdes/stormwater/menuofbmps/index.cfm?action=factsheet_results&amp;view=specific&amp;bmp=18</w:t>
        </w:r>
      </w:hyperlink>
      <w:r w:rsidRPr="00A1354D">
        <w:rPr>
          <w:rFonts w:ascii="Arial" w:hAnsi="Arial" w:cs="Arial"/>
          <w:sz w:val="18"/>
          <w:szCs w:val="18"/>
        </w:rPr>
        <w:t>&gt;.</w:t>
      </w:r>
    </w:p>
  </w:endnote>
  <w:endnote w:id="125">
    <w:p w:rsidR="00E659D3" w:rsidRPr="00A1354D" w:rsidRDefault="00E659D3" w:rsidP="00A1354D">
      <w:pPr>
        <w:autoSpaceDE w:val="0"/>
        <w:autoSpaceDN w:val="0"/>
        <w:adjustRightInd w:val="0"/>
        <w:ind w:left="360" w:hanging="360"/>
        <w:rPr>
          <w:rFonts w:cs="Arial"/>
          <w:sz w:val="18"/>
          <w:szCs w:val="18"/>
        </w:rPr>
      </w:pPr>
      <w:r w:rsidRPr="00A1354D">
        <w:rPr>
          <w:rStyle w:val="EndnoteReference"/>
          <w:rFonts w:cs="Arial"/>
          <w:sz w:val="18"/>
          <w:szCs w:val="18"/>
        </w:rPr>
        <w:endnoteRef/>
      </w:r>
      <w:r w:rsidRPr="00A1354D">
        <w:rPr>
          <w:rFonts w:cs="Arial"/>
          <w:sz w:val="18"/>
          <w:szCs w:val="18"/>
        </w:rPr>
        <w:t xml:space="preserve"> New York City Department of Parks and Recreation, Caring for Street Trees and Greenstreets.  Available</w:t>
      </w:r>
      <w:r>
        <w:rPr>
          <w:rFonts w:cs="Arial"/>
          <w:sz w:val="18"/>
          <w:szCs w:val="18"/>
        </w:rPr>
        <w:t xml:space="preserve"> at</w:t>
      </w:r>
      <w:r w:rsidRPr="00A1354D">
        <w:rPr>
          <w:rFonts w:cs="Arial"/>
          <w:sz w:val="18"/>
          <w:szCs w:val="18"/>
        </w:rPr>
        <w:t>&lt;</w:t>
      </w:r>
      <w:hyperlink r:id="rId137" w:history="1">
        <w:r w:rsidRPr="00A1354D">
          <w:rPr>
            <w:rStyle w:val="Hyperlink"/>
            <w:rFonts w:cs="Arial"/>
            <w:color w:val="auto"/>
            <w:sz w:val="18"/>
            <w:szCs w:val="18"/>
          </w:rPr>
          <w:t>http://www.nycgovparks.org/sub_your_park/trees_greenstreets/tree_care_tips/water.html</w:t>
        </w:r>
      </w:hyperlink>
      <w:r w:rsidRPr="00A1354D">
        <w:rPr>
          <w:rFonts w:cs="Arial"/>
          <w:sz w:val="18"/>
          <w:szCs w:val="18"/>
        </w:rPr>
        <w:t>&gt;.</w:t>
      </w:r>
    </w:p>
  </w:endnote>
  <w:endnote w:id="126">
    <w:p w:rsidR="00E659D3" w:rsidRPr="00A1354D" w:rsidRDefault="00E659D3" w:rsidP="00A1354D">
      <w:pPr>
        <w:autoSpaceDE w:val="0"/>
        <w:autoSpaceDN w:val="0"/>
        <w:adjustRightInd w:val="0"/>
        <w:ind w:left="360" w:hanging="360"/>
        <w:rPr>
          <w:rFonts w:cs="Arial"/>
          <w:iCs/>
          <w:sz w:val="18"/>
          <w:szCs w:val="18"/>
        </w:rPr>
      </w:pPr>
      <w:r w:rsidRPr="00A1354D">
        <w:rPr>
          <w:rStyle w:val="EndnoteReference"/>
          <w:rFonts w:cs="Arial"/>
          <w:sz w:val="18"/>
          <w:szCs w:val="18"/>
        </w:rPr>
        <w:endnoteRef/>
      </w:r>
      <w:r w:rsidRPr="00A1354D">
        <w:rPr>
          <w:rFonts w:cs="Arial"/>
          <w:sz w:val="18"/>
          <w:szCs w:val="18"/>
        </w:rPr>
        <w:t xml:space="preserve"> Trust for Public Land and American Water Works Association. (2004).  </w:t>
      </w:r>
      <w:r w:rsidRPr="00A1354D">
        <w:rPr>
          <w:rFonts w:cs="Arial"/>
          <w:i/>
          <w:iCs/>
          <w:sz w:val="18"/>
          <w:szCs w:val="18"/>
        </w:rPr>
        <w:t xml:space="preserve">Protecting the Source.  </w:t>
      </w:r>
      <w:r>
        <w:rPr>
          <w:rFonts w:cs="Arial"/>
          <w:iCs/>
          <w:sz w:val="18"/>
          <w:szCs w:val="18"/>
        </w:rPr>
        <w:t xml:space="preserve">As cited in </w:t>
      </w:r>
      <w:r w:rsidRPr="00A1354D">
        <w:rPr>
          <w:rFonts w:cs="Arial"/>
          <w:iCs/>
          <w:sz w:val="18"/>
          <w:szCs w:val="18"/>
        </w:rPr>
        <w:t xml:space="preserve">USEPA.  (2007).  </w:t>
      </w:r>
      <w:r w:rsidRPr="00A1354D">
        <w:rPr>
          <w:rFonts w:cs="Arial"/>
          <w:i/>
          <w:iCs/>
          <w:sz w:val="18"/>
          <w:szCs w:val="18"/>
        </w:rPr>
        <w:t>Reducing Stormwater Costs through Low Impact Development (LID) Strategies and Practices</w:t>
      </w:r>
      <w:r w:rsidRPr="00A1354D">
        <w:rPr>
          <w:rFonts w:cs="Arial"/>
          <w:iCs/>
          <w:sz w:val="18"/>
          <w:szCs w:val="18"/>
        </w:rPr>
        <w:t>.  37 pp.  Available at</w:t>
      </w:r>
      <w:r>
        <w:rPr>
          <w:rFonts w:cs="Arial"/>
          <w:iCs/>
          <w:sz w:val="18"/>
          <w:szCs w:val="18"/>
        </w:rPr>
        <w:t>:</w:t>
      </w:r>
      <w:r w:rsidRPr="00A1354D">
        <w:rPr>
          <w:rFonts w:cs="Arial"/>
          <w:iCs/>
          <w:sz w:val="18"/>
          <w:szCs w:val="18"/>
        </w:rPr>
        <w:t xml:space="preserve"> &lt;</w:t>
      </w:r>
      <w:r w:rsidRPr="00A1354D">
        <w:rPr>
          <w:rFonts w:cs="Arial"/>
          <w:sz w:val="18"/>
          <w:szCs w:val="18"/>
        </w:rPr>
        <w:t xml:space="preserve"> </w:t>
      </w:r>
      <w:hyperlink r:id="rId138" w:history="1">
        <w:r w:rsidRPr="00A1354D">
          <w:rPr>
            <w:rStyle w:val="Hyperlink"/>
            <w:rFonts w:cs="Arial"/>
            <w:color w:val="auto"/>
            <w:sz w:val="18"/>
            <w:szCs w:val="18"/>
          </w:rPr>
          <w:t>http://www.epa.gov/owow/NPS/lid/costs07/documents/reducingstormwatercosts.pdf</w:t>
        </w:r>
      </w:hyperlink>
      <w:r w:rsidRPr="00A1354D">
        <w:rPr>
          <w:rFonts w:cs="Arial"/>
          <w:sz w:val="18"/>
          <w:szCs w:val="18"/>
        </w:rPr>
        <w:t>&gt;</w:t>
      </w:r>
    </w:p>
  </w:endnote>
  <w:endnote w:id="127">
    <w:p w:rsidR="00E659D3" w:rsidRPr="00A1354D" w:rsidRDefault="00E659D3" w:rsidP="00A1354D">
      <w:pPr>
        <w:autoSpaceDE w:val="0"/>
        <w:autoSpaceDN w:val="0"/>
        <w:adjustRightInd w:val="0"/>
        <w:ind w:left="360" w:hanging="360"/>
        <w:rPr>
          <w:rFonts w:cs="Arial"/>
          <w:i/>
          <w:iCs/>
          <w:sz w:val="18"/>
          <w:szCs w:val="18"/>
        </w:rPr>
      </w:pPr>
      <w:r w:rsidRPr="00A1354D">
        <w:rPr>
          <w:rStyle w:val="EndnoteReference"/>
          <w:rFonts w:cs="Arial"/>
          <w:sz w:val="18"/>
          <w:szCs w:val="18"/>
        </w:rPr>
        <w:endnoteRef/>
      </w:r>
      <w:r w:rsidRPr="00A1354D">
        <w:rPr>
          <w:rFonts w:cs="Arial"/>
          <w:sz w:val="18"/>
          <w:szCs w:val="18"/>
        </w:rPr>
        <w:t xml:space="preserve"> Rocky Mountain Institute.  (2005).  </w:t>
      </w:r>
      <w:r w:rsidRPr="00A1354D">
        <w:rPr>
          <w:rFonts w:cs="Arial"/>
          <w:i/>
          <w:iCs/>
          <w:sz w:val="18"/>
          <w:szCs w:val="18"/>
        </w:rPr>
        <w:t xml:space="preserve">Green Development Services: Village Homes— Davis, California, </w:t>
      </w:r>
      <w:hyperlink r:id="rId139" w:history="1">
        <w:r w:rsidRPr="00A1354D">
          <w:rPr>
            <w:rStyle w:val="Hyperlink"/>
            <w:rFonts w:cs="Arial"/>
            <w:color w:val="auto"/>
            <w:sz w:val="18"/>
            <w:szCs w:val="18"/>
          </w:rPr>
          <w:t>http://www.rmi.org/sitepages/pid209.php</w:t>
        </w:r>
      </w:hyperlink>
      <w:r>
        <w:rPr>
          <w:rFonts w:cs="Arial"/>
          <w:i/>
          <w:iCs/>
          <w:sz w:val="18"/>
          <w:szCs w:val="18"/>
        </w:rPr>
        <w:t xml:space="preserve"> </w:t>
      </w:r>
      <w:r w:rsidRPr="00A1354D">
        <w:rPr>
          <w:rFonts w:cs="Arial"/>
          <w:sz w:val="18"/>
          <w:szCs w:val="18"/>
        </w:rPr>
        <w:t xml:space="preserve">As cited in Kloss, C and Calarusse, C.  (2006).  </w:t>
      </w:r>
      <w:r w:rsidRPr="00A1354D">
        <w:rPr>
          <w:rFonts w:cs="Arial"/>
          <w:i/>
          <w:sz w:val="18"/>
          <w:szCs w:val="18"/>
        </w:rPr>
        <w:t xml:space="preserve">Rooftops to Rivers: Green Strategies for Controlling Stormwater and Combined Sewer Overflows.  </w:t>
      </w:r>
      <w:r w:rsidRPr="00A1354D">
        <w:rPr>
          <w:rFonts w:cs="Arial"/>
          <w:sz w:val="18"/>
          <w:szCs w:val="18"/>
        </w:rPr>
        <w:t>Prepared for the Natural Resources Defense Council.  56 pp. Available at</w:t>
      </w:r>
      <w:r>
        <w:rPr>
          <w:rFonts w:cs="Arial"/>
          <w:sz w:val="18"/>
          <w:szCs w:val="18"/>
        </w:rPr>
        <w:t>:</w:t>
      </w:r>
      <w:r w:rsidRPr="00A1354D">
        <w:rPr>
          <w:rFonts w:cs="Arial"/>
          <w:sz w:val="18"/>
          <w:szCs w:val="18"/>
        </w:rPr>
        <w:t xml:space="preserve"> &lt;</w:t>
      </w:r>
      <w:hyperlink r:id="rId140" w:history="1">
        <w:r w:rsidRPr="00A1354D">
          <w:rPr>
            <w:rStyle w:val="Hyperlink"/>
            <w:rFonts w:cs="Arial"/>
            <w:color w:val="auto"/>
            <w:sz w:val="18"/>
            <w:szCs w:val="18"/>
          </w:rPr>
          <w:t>http://www.nrdc.org/water/pollution/rooftops/contents.asp</w:t>
        </w:r>
      </w:hyperlink>
      <w:r w:rsidRPr="00A1354D">
        <w:rPr>
          <w:rFonts w:cs="Arial"/>
          <w:sz w:val="18"/>
          <w:szCs w:val="18"/>
        </w:rPr>
        <w:t>&gt;.</w:t>
      </w:r>
    </w:p>
  </w:endnote>
  <w:endnote w:id="128">
    <w:p w:rsidR="00E659D3" w:rsidRPr="00A1354D" w:rsidRDefault="00E659D3" w:rsidP="00A1354D">
      <w:pPr>
        <w:autoSpaceDE w:val="0"/>
        <w:autoSpaceDN w:val="0"/>
        <w:adjustRightInd w:val="0"/>
        <w:ind w:left="360" w:hanging="360"/>
        <w:rPr>
          <w:rFonts w:cs="Arial"/>
          <w:sz w:val="18"/>
          <w:szCs w:val="18"/>
        </w:rPr>
      </w:pPr>
      <w:r w:rsidRPr="00A1354D">
        <w:rPr>
          <w:rStyle w:val="EndnoteReference"/>
          <w:rFonts w:cs="Arial"/>
          <w:sz w:val="18"/>
          <w:szCs w:val="18"/>
        </w:rPr>
        <w:endnoteRef/>
      </w:r>
      <w:r w:rsidRPr="00A1354D">
        <w:rPr>
          <w:rFonts w:cs="Arial"/>
          <w:sz w:val="18"/>
          <w:szCs w:val="18"/>
        </w:rPr>
        <w:t xml:space="preserve"> Kloss, C and Calarusse, C.  (2006).  </w:t>
      </w:r>
      <w:r w:rsidRPr="00A1354D">
        <w:rPr>
          <w:rFonts w:cs="Arial"/>
          <w:i/>
          <w:sz w:val="18"/>
          <w:szCs w:val="18"/>
        </w:rPr>
        <w:t xml:space="preserve">Rooftops to Rivers: Green Strategies for Controlling Stormwater and Combined Sewer Overflows.  </w:t>
      </w:r>
      <w:r w:rsidRPr="00A1354D">
        <w:rPr>
          <w:rFonts w:cs="Arial"/>
          <w:sz w:val="18"/>
          <w:szCs w:val="18"/>
        </w:rPr>
        <w:t>Prepared for the Natural Resources Defense Council.  56 pp. Available at</w:t>
      </w:r>
      <w:r>
        <w:rPr>
          <w:rFonts w:cs="Arial"/>
          <w:sz w:val="18"/>
          <w:szCs w:val="18"/>
        </w:rPr>
        <w:t>:</w:t>
      </w:r>
      <w:r w:rsidRPr="00A1354D">
        <w:rPr>
          <w:rFonts w:cs="Arial"/>
          <w:sz w:val="18"/>
          <w:szCs w:val="18"/>
        </w:rPr>
        <w:t xml:space="preserve"> &lt;</w:t>
      </w:r>
      <w:hyperlink r:id="rId141" w:history="1">
        <w:r w:rsidRPr="00A1354D">
          <w:rPr>
            <w:rStyle w:val="Hyperlink"/>
            <w:rFonts w:cs="Arial"/>
            <w:color w:val="auto"/>
            <w:sz w:val="18"/>
            <w:szCs w:val="18"/>
          </w:rPr>
          <w:t>http://www.nrdc.org/water/pollution/rooftops/contents.asp</w:t>
        </w:r>
      </w:hyperlink>
      <w:r w:rsidRPr="00A1354D">
        <w:rPr>
          <w:rFonts w:cs="Arial"/>
          <w:sz w:val="18"/>
          <w:szCs w:val="18"/>
        </w:rPr>
        <w:t>&gt;.</w:t>
      </w:r>
    </w:p>
  </w:endnote>
  <w:endnote w:id="129">
    <w:p w:rsidR="00E659D3" w:rsidRPr="00A1354D" w:rsidRDefault="00E659D3" w:rsidP="00A1354D">
      <w:pPr>
        <w:pStyle w:val="EndnoteText"/>
        <w:ind w:left="360" w:hanging="360"/>
        <w:rPr>
          <w:rFonts w:ascii="Arial" w:hAnsi="Arial" w:cs="Arial"/>
          <w:i/>
          <w:sz w:val="18"/>
          <w:szCs w:val="18"/>
        </w:rPr>
      </w:pPr>
      <w:r w:rsidRPr="00A1354D">
        <w:rPr>
          <w:rStyle w:val="EndnoteReference"/>
          <w:rFonts w:ascii="Arial" w:hAnsi="Arial" w:cs="Arial"/>
          <w:sz w:val="18"/>
          <w:szCs w:val="18"/>
        </w:rPr>
        <w:endnoteRef/>
      </w:r>
      <w:r w:rsidRPr="00A1354D">
        <w:rPr>
          <w:rFonts w:ascii="Arial" w:hAnsi="Arial" w:cs="Arial"/>
          <w:sz w:val="18"/>
          <w:szCs w:val="18"/>
        </w:rPr>
        <w:t xml:space="preserve"> New York State Department of Environmental Conservation. (2010).  </w:t>
      </w:r>
      <w:r w:rsidRPr="00A1354D">
        <w:rPr>
          <w:rFonts w:ascii="Arial" w:hAnsi="Arial" w:cs="Arial"/>
          <w:i/>
          <w:sz w:val="18"/>
          <w:szCs w:val="18"/>
        </w:rPr>
        <w:t>New York State</w:t>
      </w:r>
      <w:r>
        <w:rPr>
          <w:rFonts w:ascii="Arial" w:hAnsi="Arial" w:cs="Arial"/>
          <w:i/>
          <w:sz w:val="18"/>
          <w:szCs w:val="18"/>
        </w:rPr>
        <w:t xml:space="preserve"> Stormwater Management Design </w:t>
      </w:r>
      <w:r w:rsidRPr="00A1354D">
        <w:rPr>
          <w:rFonts w:ascii="Arial" w:hAnsi="Arial" w:cs="Arial"/>
          <w:i/>
          <w:sz w:val="18"/>
          <w:szCs w:val="18"/>
        </w:rPr>
        <w:t>Manual</w:t>
      </w:r>
      <w:r w:rsidRPr="00A1354D">
        <w:rPr>
          <w:rFonts w:ascii="Arial" w:hAnsi="Arial" w:cs="Arial"/>
          <w:sz w:val="18"/>
          <w:szCs w:val="18"/>
        </w:rPr>
        <w:t>. 642 pp. Available at</w:t>
      </w:r>
      <w:r>
        <w:rPr>
          <w:rFonts w:ascii="Arial" w:hAnsi="Arial" w:cs="Arial"/>
          <w:sz w:val="18"/>
          <w:szCs w:val="18"/>
        </w:rPr>
        <w:t>:</w:t>
      </w:r>
      <w:r w:rsidRPr="00A1354D">
        <w:rPr>
          <w:rFonts w:ascii="Arial" w:hAnsi="Arial" w:cs="Arial"/>
          <w:sz w:val="18"/>
          <w:szCs w:val="18"/>
        </w:rPr>
        <w:t xml:space="preserve"> &lt;</w:t>
      </w:r>
      <w:hyperlink r:id="rId142" w:history="1">
        <w:r w:rsidRPr="00A1354D">
          <w:rPr>
            <w:rStyle w:val="Hyperlink"/>
            <w:rFonts w:ascii="Arial" w:hAnsi="Arial" w:cs="Arial"/>
            <w:color w:val="auto"/>
            <w:sz w:val="18"/>
            <w:szCs w:val="18"/>
          </w:rPr>
          <w:t>http://www.dec.ny.gov/chemical/29072.html</w:t>
        </w:r>
      </w:hyperlink>
      <w:r w:rsidRPr="00A1354D">
        <w:rPr>
          <w:rFonts w:ascii="Arial" w:hAnsi="Arial" w:cs="Arial"/>
          <w:sz w:val="18"/>
          <w:szCs w:val="18"/>
        </w:rPr>
        <w:t>&gt;.</w:t>
      </w:r>
    </w:p>
  </w:endnote>
  <w:endnote w:id="130">
    <w:p w:rsidR="00E659D3" w:rsidRDefault="00E659D3" w:rsidP="00A1354D">
      <w:pPr>
        <w:pStyle w:val="EndnoteText"/>
        <w:ind w:left="360" w:hanging="360"/>
        <w:rPr>
          <w:rFonts w:ascii="Arial" w:hAnsi="Arial" w:cs="Arial"/>
          <w:sz w:val="18"/>
          <w:szCs w:val="18"/>
        </w:rPr>
      </w:pPr>
      <w:r w:rsidRPr="00A1354D">
        <w:rPr>
          <w:rStyle w:val="EndnoteReference"/>
          <w:rFonts w:ascii="Arial" w:hAnsi="Arial" w:cs="Arial"/>
          <w:sz w:val="18"/>
          <w:szCs w:val="18"/>
        </w:rPr>
        <w:endnoteRef/>
      </w:r>
      <w:r w:rsidRPr="00A1354D">
        <w:rPr>
          <w:rFonts w:ascii="Arial" w:hAnsi="Arial" w:cs="Arial"/>
          <w:sz w:val="18"/>
          <w:szCs w:val="18"/>
        </w:rPr>
        <w:t xml:space="preserve"> USEPA.  (2006).  </w:t>
      </w:r>
      <w:r w:rsidRPr="00A1354D">
        <w:rPr>
          <w:rFonts w:ascii="Arial" w:hAnsi="Arial" w:cs="Arial"/>
          <w:i/>
          <w:sz w:val="18"/>
          <w:szCs w:val="18"/>
        </w:rPr>
        <w:t xml:space="preserve">National Pollutant Discharge Elimination System (NPDES) Menu of BMPs: Reforestation Programs.  </w:t>
      </w:r>
      <w:r w:rsidRPr="00A1354D">
        <w:rPr>
          <w:rFonts w:ascii="Arial" w:hAnsi="Arial" w:cs="Arial"/>
          <w:sz w:val="18"/>
          <w:szCs w:val="18"/>
        </w:rPr>
        <w:t>Available at</w:t>
      </w:r>
      <w:r>
        <w:rPr>
          <w:rFonts w:ascii="Arial" w:hAnsi="Arial" w:cs="Arial"/>
          <w:sz w:val="18"/>
          <w:szCs w:val="18"/>
        </w:rPr>
        <w:t>:</w:t>
      </w:r>
      <w:r>
        <w:rPr>
          <w:rFonts w:ascii="Arial" w:hAnsi="Arial" w:cs="Arial"/>
          <w:i/>
          <w:sz w:val="18"/>
          <w:szCs w:val="18"/>
        </w:rPr>
        <w:t xml:space="preserve"> </w:t>
      </w:r>
      <w:r w:rsidRPr="00A1354D">
        <w:rPr>
          <w:rFonts w:ascii="Arial" w:hAnsi="Arial" w:cs="Arial"/>
          <w:sz w:val="18"/>
          <w:szCs w:val="18"/>
        </w:rPr>
        <w:t>&lt;</w:t>
      </w:r>
      <w:hyperlink r:id="rId143" w:history="1">
        <w:r w:rsidRPr="00A1354D">
          <w:rPr>
            <w:rStyle w:val="Hyperlink"/>
            <w:rFonts w:ascii="Arial" w:hAnsi="Arial" w:cs="Arial"/>
            <w:color w:val="auto"/>
            <w:sz w:val="18"/>
            <w:szCs w:val="18"/>
          </w:rPr>
          <w:t>http://cfpub.epa.gov/npdes/stormwater/menuofbmps/index.cfm?action=factsheet_results&amp;view=specific&amp;bmp=18</w:t>
        </w:r>
      </w:hyperlink>
      <w:r w:rsidRPr="00A1354D">
        <w:rPr>
          <w:rFonts w:ascii="Arial" w:hAnsi="Arial" w:cs="Arial"/>
          <w:sz w:val="18"/>
          <w:szCs w:val="18"/>
        </w:rPr>
        <w:t>&gt;.</w:t>
      </w:r>
    </w:p>
    <w:p w:rsidR="00E659D3" w:rsidRDefault="00E659D3" w:rsidP="00A1354D">
      <w:pPr>
        <w:pStyle w:val="EndnoteText"/>
        <w:ind w:left="360" w:hanging="360"/>
        <w:rPr>
          <w:rFonts w:ascii="Arial" w:hAnsi="Arial" w:cs="Arial"/>
          <w:sz w:val="18"/>
          <w:szCs w:val="18"/>
        </w:rPr>
      </w:pPr>
    </w:p>
    <w:p w:rsidR="00E659D3" w:rsidRPr="00A1354D" w:rsidRDefault="00E659D3" w:rsidP="00A1354D">
      <w:pPr>
        <w:pStyle w:val="EndnoteText"/>
        <w:ind w:left="360" w:hanging="360"/>
        <w:rPr>
          <w:rFonts w:ascii="Arial" w:hAnsi="Arial" w:cs="Arial"/>
          <w:i/>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642456" w:rsidRDefault="00430DFB" w:rsidP="005A3609">
    <w:pPr>
      <w:pStyle w:val="Footer"/>
    </w:pPr>
    <w:r>
      <w:fldChar w:fldCharType="begin"/>
    </w:r>
    <w:r>
      <w:instrText xml:space="preserve"> PAGE </w:instrText>
    </w:r>
    <w:r>
      <w:fldChar w:fldCharType="separate"/>
    </w:r>
    <w:r>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AA01C2" w:rsidRDefault="00E659D3" w:rsidP="005A3609">
    <w:pPr>
      <w:pStyle w:val="Footer"/>
      <w:rPr>
        <w:rStyle w:val="PageNumber"/>
      </w:rPr>
    </w:pPr>
    <w:r w:rsidRPr="00AA01C2">
      <w:rPr>
        <w:rStyle w:val="PageNumber"/>
      </w:rPr>
      <w:fldChar w:fldCharType="begin"/>
    </w:r>
    <w:r w:rsidRPr="00AA01C2">
      <w:rPr>
        <w:rStyle w:val="PageNumber"/>
      </w:rPr>
      <w:instrText xml:space="preserve">PAGE  </w:instrText>
    </w:r>
    <w:r w:rsidRPr="00AA01C2">
      <w:rPr>
        <w:rStyle w:val="PageNumber"/>
      </w:rPr>
      <w:fldChar w:fldCharType="separate"/>
    </w:r>
    <w:r>
      <w:rPr>
        <w:rStyle w:val="PageNumber"/>
        <w:noProof/>
      </w:rPr>
      <w:t>20</w:t>
    </w:r>
    <w:r w:rsidRPr="00AA01C2">
      <w:rPr>
        <w:rStyle w:val="PageNumber"/>
      </w:rPr>
      <w:fldChar w:fldCharType="end"/>
    </w:r>
  </w:p>
  <w:p w:rsidR="00E659D3" w:rsidRDefault="00E659D3" w:rsidP="005A360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430DFB" w:rsidP="005A3609">
    <w:pPr>
      <w:pStyle w:val="Footer"/>
    </w:pPr>
    <w:r>
      <w:fldChar w:fldCharType="begin"/>
    </w:r>
    <w:r>
      <w:instrText xml:space="preserve"> PAGE   \* MERGEFORMAT </w:instrText>
    </w:r>
    <w:r>
      <w:fldChar w:fldCharType="separate"/>
    </w:r>
    <w:r w:rsidR="00E659D3">
      <w:rPr>
        <w:noProof/>
      </w:rPr>
      <w:t>32</w:t>
    </w:r>
    <w:r>
      <w:rPr>
        <w:noProof/>
      </w:rPr>
      <w:fldChar w:fldCharType="end"/>
    </w:r>
  </w:p>
  <w:p w:rsidR="00E659D3" w:rsidRDefault="00E659D3" w:rsidP="005A3609">
    <w:pPr>
      <w:pStyle w:val="Footer"/>
    </w:pPr>
  </w:p>
  <w:p w:rsidR="00E659D3" w:rsidRPr="002544BA" w:rsidRDefault="00E659D3" w:rsidP="005A3609">
    <w:pPr>
      <w:pStyle w:val="Footer"/>
    </w:pPr>
  </w:p>
  <w:p w:rsidR="00E659D3" w:rsidRPr="002544BA" w:rsidRDefault="00E659D3" w:rsidP="005A360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642456" w:rsidRDefault="00430DFB" w:rsidP="005A3609">
    <w:pPr>
      <w:pStyle w:val="Footer"/>
    </w:pPr>
    <w:r>
      <w:fldChar w:fldCharType="begin"/>
    </w:r>
    <w:r>
      <w:instrText xml:space="preserve"> PAGE   \* MERGEFORMAT </w:instrText>
    </w:r>
    <w:r>
      <w:fldChar w:fldCharType="separate"/>
    </w:r>
    <w:r>
      <w:rPr>
        <w:noProof/>
      </w:rPr>
      <w:t>40</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1C21EA" w:rsidRDefault="00E659D3" w:rsidP="005A3609">
    <w:pPr>
      <w:pStyle w:val="Footer"/>
      <w:rPr>
        <w:rStyle w:val="PageNumber"/>
      </w:rPr>
    </w:pPr>
    <w:r w:rsidRPr="001C21EA">
      <w:rPr>
        <w:rStyle w:val="PageNumber"/>
      </w:rPr>
      <w:fldChar w:fldCharType="begin"/>
    </w:r>
    <w:r w:rsidRPr="001C21EA">
      <w:rPr>
        <w:rStyle w:val="PageNumber"/>
      </w:rPr>
      <w:instrText xml:space="preserve">PAGE  </w:instrText>
    </w:r>
    <w:r w:rsidRPr="001C21EA">
      <w:rPr>
        <w:rStyle w:val="PageNumber"/>
      </w:rPr>
      <w:fldChar w:fldCharType="separate"/>
    </w:r>
    <w:r>
      <w:rPr>
        <w:rStyle w:val="PageNumber"/>
        <w:noProof/>
      </w:rPr>
      <w:t>36</w:t>
    </w:r>
    <w:r w:rsidRPr="001C21EA">
      <w:rPr>
        <w:rStyle w:val="PageNumber"/>
      </w:rPr>
      <w:fldChar w:fldCharType="end"/>
    </w:r>
  </w:p>
  <w:p w:rsidR="00E659D3" w:rsidRDefault="00E659D3" w:rsidP="005A360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642456" w:rsidRDefault="00430DFB" w:rsidP="005A3609">
    <w:pPr>
      <w:pStyle w:val="Footer"/>
    </w:pPr>
    <w:r>
      <w:fldChar w:fldCharType="begin"/>
    </w:r>
    <w:r>
      <w:instrText xml:space="preserve"> PAGE   \* MERGEFORMAT </w:instrText>
    </w:r>
    <w:r>
      <w:fldChar w:fldCharType="separate"/>
    </w:r>
    <w:r>
      <w:rPr>
        <w:noProof/>
      </w:rPr>
      <w:t>44</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1C21EA" w:rsidRDefault="00E659D3" w:rsidP="005A3609">
    <w:pPr>
      <w:pStyle w:val="Footer"/>
      <w:rPr>
        <w:rStyle w:val="PageNumber"/>
      </w:rPr>
    </w:pPr>
    <w:r w:rsidRPr="001C21EA">
      <w:rPr>
        <w:rStyle w:val="PageNumber"/>
      </w:rPr>
      <w:fldChar w:fldCharType="begin"/>
    </w:r>
    <w:r w:rsidRPr="001C21EA">
      <w:rPr>
        <w:rStyle w:val="PageNumber"/>
      </w:rPr>
      <w:instrText xml:space="preserve">PAGE  </w:instrText>
    </w:r>
    <w:r w:rsidRPr="001C21EA">
      <w:rPr>
        <w:rStyle w:val="PageNumber"/>
      </w:rPr>
      <w:fldChar w:fldCharType="separate"/>
    </w:r>
    <w:r>
      <w:rPr>
        <w:rStyle w:val="PageNumber"/>
        <w:noProof/>
      </w:rPr>
      <w:t>46</w:t>
    </w:r>
    <w:r w:rsidRPr="001C21EA">
      <w:rPr>
        <w:rStyle w:val="PageNumber"/>
      </w:rPr>
      <w:fldChar w:fldCharType="end"/>
    </w:r>
  </w:p>
  <w:p w:rsidR="00E659D3" w:rsidRDefault="00E659D3" w:rsidP="005A3609">
    <w:pPr>
      <w:pStyle w:val="Footer"/>
      <w:rPr>
        <w:b/>
        <w:bCs/>
      </w:rPr>
    </w:pPr>
    <w:r>
      <w:tab/>
    </w:r>
    <w:r>
      <w:tab/>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642456" w:rsidRDefault="00430DFB" w:rsidP="005A3609">
    <w:pPr>
      <w:pStyle w:val="Footer"/>
    </w:pPr>
    <w:r>
      <w:fldChar w:fldCharType="begin"/>
    </w:r>
    <w:r>
      <w:instrText xml:space="preserve"> PAGE   \* MERGEFORMAT </w:instrText>
    </w:r>
    <w:r>
      <w:fldChar w:fldCharType="separate"/>
    </w:r>
    <w:r>
      <w:rPr>
        <w:noProof/>
      </w:rPr>
      <w:t>51</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rsidP="005A360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rsidR="00E659D3" w:rsidRDefault="00E659D3" w:rsidP="005A360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807E7C" w:rsidRDefault="00430DFB" w:rsidP="005A3609">
    <w:pPr>
      <w:pStyle w:val="Footer"/>
    </w:pPr>
    <w:r>
      <w:fldChar w:fldCharType="begin"/>
    </w:r>
    <w:r>
      <w:instrText xml:space="preserve"> PAGE   \* MERGEFORMAT </w:instrText>
    </w:r>
    <w:r>
      <w:fldChar w:fldCharType="separate"/>
    </w:r>
    <w:r w:rsidR="00DC72D1">
      <w:rPr>
        <w:noProof/>
      </w:rPr>
      <w:t>59</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rsidP="005A36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rsidP="008628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59D3" w:rsidRDefault="00E659D3" w:rsidP="005A3609">
    <w:pPr>
      <w:pStyle w:val="Footer"/>
      <w:rPr>
        <w:rStyle w:val="PageNumber"/>
        <w:sz w:val="18"/>
      </w:rPr>
    </w:pPr>
  </w:p>
  <w:p w:rsidR="00E659D3" w:rsidRDefault="00E659D3" w:rsidP="005A3609">
    <w:pPr>
      <w:pStyle w:val="Footer"/>
      <w:rPr>
        <w:b/>
        <w:bCs/>
      </w:rPr>
    </w:pPr>
    <w:r>
      <w:tab/>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430DFB" w:rsidP="005A3609">
    <w:pPr>
      <w:pStyle w:val="Footer"/>
    </w:pPr>
    <w:r>
      <w:fldChar w:fldCharType="begin"/>
    </w:r>
    <w:r>
      <w:instrText xml:space="preserve"> PAGE   \* MERGEFORMAT </w:instrText>
    </w:r>
    <w:r>
      <w:fldChar w:fldCharType="separate"/>
    </w:r>
    <w:r w:rsidR="00DC72D1">
      <w:rPr>
        <w:noProof/>
      </w:rPr>
      <w:t>A-7</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Footer"/>
    </w:pPr>
    <w:r>
      <w:rPr>
        <w:rStyle w:val="PageNumber"/>
      </w:rPr>
      <w:fldChar w:fldCharType="begin"/>
    </w:r>
    <w:r>
      <w:rPr>
        <w:rStyle w:val="PageNumber"/>
      </w:rPr>
      <w:instrText xml:space="preserve"> PAGE </w:instrText>
    </w:r>
    <w:r>
      <w:rPr>
        <w:rStyle w:val="PageNumber"/>
      </w:rPr>
      <w:fldChar w:fldCharType="separate"/>
    </w:r>
    <w:r w:rsidR="00DC72D1">
      <w:rPr>
        <w:rStyle w:val="PageNumber"/>
        <w:noProof/>
      </w:rPr>
      <w:t>A-1</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rsidP="005A360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430DFB" w:rsidP="005A3609">
    <w:pPr>
      <w:pStyle w:val="Footer"/>
    </w:pPr>
    <w:r>
      <w:fldChar w:fldCharType="begin"/>
    </w:r>
    <w:r>
      <w:instrText xml:space="preserve"> PAGE   \* MERGEFORMAT </w:instrText>
    </w:r>
    <w:r>
      <w:fldChar w:fldCharType="separate"/>
    </w:r>
    <w:r w:rsidR="00DC72D1">
      <w:rPr>
        <w:noProof/>
      </w:rPr>
      <w:t>B-6</w:t>
    </w:r>
    <w:r>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Footer"/>
    </w:pPr>
    <w:r>
      <w:rPr>
        <w:rStyle w:val="PageNumber"/>
      </w:rPr>
      <w:fldChar w:fldCharType="begin"/>
    </w:r>
    <w:r>
      <w:rPr>
        <w:rStyle w:val="PageNumber"/>
      </w:rPr>
      <w:instrText xml:space="preserve"> PAGE </w:instrText>
    </w:r>
    <w:r>
      <w:rPr>
        <w:rStyle w:val="PageNumber"/>
      </w:rPr>
      <w:fldChar w:fldCharType="separate"/>
    </w:r>
    <w:r w:rsidR="00DC72D1">
      <w:rPr>
        <w:rStyle w:val="PageNumber"/>
        <w:noProof/>
      </w:rPr>
      <w:t>B-1</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2709A2" w:rsidRDefault="00430DFB" w:rsidP="005A3609">
    <w:pPr>
      <w:pStyle w:val="Footer"/>
    </w:pPr>
    <w:r>
      <w:fldChar w:fldCharType="begin"/>
    </w:r>
    <w:r>
      <w:instrText xml:space="preserve"> PAGE   \* MERGEFORMAT </w:instrText>
    </w:r>
    <w:r>
      <w:fldChar w:fldCharType="separate"/>
    </w:r>
    <w:r w:rsidR="00DC72D1">
      <w:rPr>
        <w:noProof/>
      </w:rPr>
      <w:t>C-4</w:t>
    </w:r>
    <w:r>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Footer"/>
    </w:pPr>
    <w:r>
      <w:rPr>
        <w:rStyle w:val="PageNumber"/>
      </w:rPr>
      <w:fldChar w:fldCharType="begin"/>
    </w:r>
    <w:r>
      <w:rPr>
        <w:rStyle w:val="PageNumber"/>
      </w:rPr>
      <w:instrText xml:space="preserve"> PAGE </w:instrText>
    </w:r>
    <w:r>
      <w:rPr>
        <w:rStyle w:val="PageNumber"/>
      </w:rPr>
      <w:fldChar w:fldCharType="separate"/>
    </w:r>
    <w:r w:rsidR="00DC72D1">
      <w:rPr>
        <w:rStyle w:val="PageNumber"/>
        <w:noProof/>
      </w:rPr>
      <w:t>C-1</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524F78" w:rsidRDefault="00430DFB" w:rsidP="00524F78">
    <w:pPr>
      <w:pStyle w:val="Footer"/>
    </w:pPr>
    <w:r>
      <w:fldChar w:fldCharType="begin"/>
    </w:r>
    <w:r>
      <w:instrText xml:space="preserve"> PAGE   \* MERGEFORMAT </w:instrText>
    </w:r>
    <w:r>
      <w:fldChar w:fldCharType="separate"/>
    </w:r>
    <w:r w:rsidR="00DC72D1">
      <w:rPr>
        <w:noProof/>
      </w:rPr>
      <w:t>D-24</w:t>
    </w:r>
    <w:r>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rsidP="005A3609">
    <w:pPr>
      <w:pStyle w:val="Footer"/>
    </w:pPr>
    <w:r>
      <w:rPr>
        <w:rStyle w:val="PageNumber"/>
      </w:rPr>
      <w:fldChar w:fldCharType="begin"/>
    </w:r>
    <w:r>
      <w:rPr>
        <w:rStyle w:val="PageNumber"/>
      </w:rPr>
      <w:instrText xml:space="preserve"> PAGE </w:instrText>
    </w:r>
    <w:r>
      <w:rPr>
        <w:rStyle w:val="PageNumber"/>
      </w:rPr>
      <w:fldChar w:fldCharType="separate"/>
    </w:r>
    <w:r w:rsidR="00430DFB">
      <w:rPr>
        <w:rStyle w:val="PageNumber"/>
        <w:noProof/>
      </w:rPr>
      <w:t>10</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5A3609" w:rsidRDefault="00E659D3" w:rsidP="005A3609">
    <w:pPr>
      <w:pStyle w:val="Footer"/>
    </w:pPr>
    <w:r>
      <w:rPr>
        <w:rStyle w:val="PageNumber"/>
      </w:rPr>
      <w:fldChar w:fldCharType="begin"/>
    </w:r>
    <w:r>
      <w:rPr>
        <w:rStyle w:val="PageNumber"/>
      </w:rPr>
      <w:instrText xml:space="preserve"> PAGE </w:instrText>
    </w:r>
    <w:r>
      <w:rPr>
        <w:rStyle w:val="PageNumber"/>
      </w:rPr>
      <w:fldChar w:fldCharType="separate"/>
    </w:r>
    <w:r w:rsidR="00430DFB">
      <w:rPr>
        <w:rStyle w:val="PageNumber"/>
        <w:noProof/>
      </w:rPr>
      <w:t>12</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D35979" w:rsidRDefault="00430DFB" w:rsidP="005A3609">
    <w:pPr>
      <w:pStyle w:val="Footer"/>
    </w:pPr>
    <w:r>
      <w:fldChar w:fldCharType="begin"/>
    </w:r>
    <w:r>
      <w:instrText xml:space="preserve"> PAGE   \* MERGEFORMAT </w:instrText>
    </w:r>
    <w:r>
      <w:fldChar w:fldCharType="separate"/>
    </w:r>
    <w:r w:rsidR="00E659D3">
      <w:rPr>
        <w:noProof/>
      </w:rPr>
      <w:t>14</w:t>
    </w:r>
    <w:r>
      <w:rPr>
        <w:noProof/>
      </w:rPr>
      <w:fldChar w:fldCharType="end"/>
    </w:r>
  </w:p>
  <w:p w:rsidR="00E659D3" w:rsidRPr="008202C1" w:rsidRDefault="00E659D3" w:rsidP="005A360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430DFB" w:rsidP="005A3609">
    <w:pPr>
      <w:pStyle w:val="Footer"/>
    </w:pPr>
    <w:r>
      <w:fldChar w:fldCharType="begin"/>
    </w:r>
    <w:r>
      <w:instrText xml:space="preserve"> PAGE   \* MERGEFORMAT </w:instrText>
    </w:r>
    <w:r>
      <w:fldChar w:fldCharType="separate"/>
    </w:r>
    <w:r>
      <w:rPr>
        <w:noProof/>
      </w:rPr>
      <w:t>16</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5026CC" w:rsidRDefault="00E659D3" w:rsidP="005A3609">
    <w:pPr>
      <w:pStyle w:val="Footer"/>
      <w:rPr>
        <w:rStyle w:val="PageNumber"/>
      </w:rPr>
    </w:pPr>
    <w:r w:rsidRPr="005026CC">
      <w:rPr>
        <w:rStyle w:val="PageNumber"/>
      </w:rPr>
      <w:fldChar w:fldCharType="begin"/>
    </w:r>
    <w:r w:rsidRPr="005026CC">
      <w:rPr>
        <w:rStyle w:val="PageNumber"/>
      </w:rPr>
      <w:instrText xml:space="preserve">PAGE  </w:instrText>
    </w:r>
    <w:r w:rsidRPr="005026CC">
      <w:rPr>
        <w:rStyle w:val="PageNumber"/>
      </w:rPr>
      <w:fldChar w:fldCharType="separate"/>
    </w:r>
    <w:r>
      <w:rPr>
        <w:rStyle w:val="PageNumber"/>
        <w:noProof/>
      </w:rPr>
      <w:t>18</w:t>
    </w:r>
    <w:r w:rsidRPr="005026CC">
      <w:rPr>
        <w:rStyle w:val="PageNumber"/>
      </w:rPr>
      <w:fldChar w:fldCharType="end"/>
    </w:r>
  </w:p>
  <w:p w:rsidR="00E659D3" w:rsidRPr="005026CC" w:rsidRDefault="00E659D3" w:rsidP="005A360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430DFB" w:rsidP="005A3609">
    <w:pPr>
      <w:pStyle w:val="Footer"/>
      <w:rPr>
        <w:b/>
        <w:sz w:val="18"/>
        <w:szCs w:val="18"/>
      </w:rPr>
    </w:pPr>
    <w:r>
      <w:fldChar w:fldCharType="begin"/>
    </w:r>
    <w:r>
      <w:instrText xml:space="preserve"> PAGE   \* MERGEFORMAT </w:instrText>
    </w:r>
    <w:r>
      <w:fldChar w:fldCharType="separate"/>
    </w:r>
    <w:r>
      <w:rPr>
        <w:noProof/>
      </w:rPr>
      <w:t>25</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430DFB" w:rsidP="005A3609">
    <w:pPr>
      <w:pStyle w:val="Footer"/>
      <w:rPr>
        <w:b/>
        <w:sz w:val="18"/>
        <w:szCs w:val="18"/>
      </w:rPr>
    </w:pPr>
    <w:r>
      <w:fldChar w:fldCharType="begin"/>
    </w:r>
    <w:r>
      <w:instrText xml:space="preserve"> PAGE   \* MERGEFORMAT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045" w:rsidRDefault="00F51045">
      <w:r>
        <w:separator/>
      </w:r>
    </w:p>
    <w:p w:rsidR="00F51045" w:rsidRDefault="00F51045"/>
  </w:footnote>
  <w:footnote w:type="continuationSeparator" w:id="0">
    <w:p w:rsidR="00F51045" w:rsidRDefault="00F51045">
      <w:r>
        <w:continuationSeparator/>
      </w:r>
    </w:p>
    <w:p w:rsidR="00F51045" w:rsidRDefault="00F51045"/>
  </w:footnote>
  <w:footnote w:id="1">
    <w:p w:rsidR="00E659D3" w:rsidRDefault="00E659D3">
      <w:pPr>
        <w:pStyle w:val="FootnoteText"/>
      </w:pPr>
      <w:r>
        <w:rPr>
          <w:rStyle w:val="FootnoteReference"/>
        </w:rPr>
        <w:footnoteRef/>
      </w:r>
      <w:r>
        <w:t xml:space="preserve">  Combined Sewer Overflow (CSO) Control Policy, 59 Fed. Reg. 18688-18698 (April 19, 1994) (EPA 1994). Pursuant to section 402(q) of the Clean Water Act (CWA), permits, orders and decrees issued under the CWA for discharges from municipal combined storm and sanitary sewer systems “shall conform” to the CSO Control Policy.</w:t>
      </w:r>
    </w:p>
  </w:footnote>
  <w:footnote w:id="2">
    <w:p w:rsidR="00E659D3" w:rsidRPr="00A0712B" w:rsidRDefault="00E659D3" w:rsidP="004D23B9">
      <w:pPr>
        <w:pStyle w:val="FootnoteText"/>
      </w:pPr>
      <w:r w:rsidRPr="00A0712B">
        <w:rPr>
          <w:rStyle w:val="FootnoteReference"/>
        </w:rPr>
        <w:footnoteRef/>
      </w:r>
      <w:r>
        <w:tab/>
        <w:t xml:space="preserve">Table 10 in </w:t>
      </w:r>
      <w:r w:rsidRPr="00A0712B">
        <w:rPr>
          <w:i/>
        </w:rPr>
        <w:t>Rainfall Frequency Atlas of the Midwest</w:t>
      </w:r>
      <w:r>
        <w:t xml:space="preserve"> provides “the median distribution of heavy storm rainfall at a point.” </w:t>
      </w:r>
      <w:r w:rsidRPr="00A0712B">
        <w:t xml:space="preserve">Huff, Floyd A. and James R. Angel. </w:t>
      </w:r>
      <w:r w:rsidRPr="00A0712B">
        <w:rPr>
          <w:i/>
        </w:rPr>
        <w:t>Rainfall Frequency Atlas of the Midwest</w:t>
      </w:r>
      <w:r w:rsidRPr="00A0712B">
        <w:t>. Illinois State Water Survey, Champaign, Bulletin 71, 1992</w:t>
      </w:r>
      <w:r>
        <w:t>, pgs 20-21</w:t>
      </w:r>
      <w:r w:rsidRPr="00A0712B">
        <w:t>. (</w:t>
      </w:r>
      <w:hyperlink r:id="rId1" w:history="1">
        <w:r w:rsidRPr="00A0712B">
          <w:rPr>
            <w:rStyle w:val="Hyperlink"/>
            <w:sz w:val="18"/>
            <w:szCs w:val="18"/>
          </w:rPr>
          <w:t>http://www.isws.illinois.edu/pubdoc/B/ISWSB-71.pdf</w:t>
        </w:r>
      </w:hyperlink>
      <w:r w:rsidRPr="00A0712B">
        <w:t>, Date accessed October 22,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Header"/>
      <w:rPr>
        <w:rFonts w:cs="Arial"/>
        <w:b/>
        <w:bCs/>
      </w:rPr>
    </w:pPr>
    <w:r>
      <w:rPr>
        <w:rFonts w:cs="Arial"/>
        <w:b/>
        <w:bCs/>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Header"/>
      <w:jc w:val="both"/>
      <w:rPr>
        <w:rFonts w:cs="Arial"/>
        <w:b/>
        <w:bCs/>
      </w:rPr>
    </w:pPr>
    <w:r>
      <w:rPr>
        <w:rFonts w:cs="Arial"/>
        <w:b/>
        <w:bCs/>
        <w:szCs w:val="28"/>
      </w:rPr>
      <w:t>INSTRUCTIONS: FORM LTCP-EZ</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rsidP="00D35979">
    <w:pPr>
      <w:pStyle w:val="Header"/>
      <w:jc w:val="both"/>
      <w:rPr>
        <w:rFonts w:cs="Arial"/>
        <w:b/>
        <w:bCs/>
      </w:rPr>
    </w:pPr>
    <w:r>
      <w:rPr>
        <w:rFonts w:cs="Arial"/>
        <w:b/>
        <w:bCs/>
        <w:szCs w:val="28"/>
      </w:rPr>
      <w:t>GENERAL INSTRUCTIONS: GREEN LTCP-EZ TEMPLATE</w:t>
    </w:r>
  </w:p>
  <w:p w:rsidR="00E659D3" w:rsidRPr="00D35979" w:rsidRDefault="00E659D3" w:rsidP="00D3597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D35979" w:rsidRDefault="00E659D3" w:rsidP="00D35979">
    <w:pPr>
      <w:pStyle w:val="Header"/>
    </w:pPr>
    <w:r w:rsidRPr="003D5B09">
      <w:t>Green Long-Term Control Plan-EZ Template: A Planning Tool for CSO Control in Small Communities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AA01C2" w:rsidRDefault="00E659D3" w:rsidP="00AA01C2">
    <w:pPr>
      <w:pStyle w:val="Header"/>
    </w:pPr>
    <w:r w:rsidRPr="003D5B09">
      <w:t>Green Long-Term Control Plan-EZ Template: A Planning Tool for CSO Control in Small Communities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D705EC" w:rsidRDefault="00E659D3">
    <w:pPr>
      <w:pStyle w:val="Header"/>
      <w:rPr>
        <w:rFonts w:cs="Arial"/>
        <w:b/>
        <w:bCs/>
      </w:rPr>
    </w:pPr>
    <w:r>
      <w:rPr>
        <w:rFonts w:cs="Arial"/>
        <w:b/>
        <w:bCs/>
        <w:szCs w:val="28"/>
      </w:rPr>
      <w:t>INSTRUCTIONS: SCHEDULE 4—CSO VOLUME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rsidP="00D705EC">
    <w:pPr>
      <w:pStyle w:val="Header"/>
      <w:rPr>
        <w:rFonts w:cs="Arial"/>
        <w:b/>
        <w:bCs/>
      </w:rPr>
    </w:pPr>
    <w:r>
      <w:rPr>
        <w:rFonts w:cs="Arial"/>
        <w:b/>
        <w:bCs/>
        <w:szCs w:val="28"/>
      </w:rPr>
      <w:t>INSTRUCTIONS: SCHEDULE 4—CSO VOLUME</w:t>
    </w:r>
  </w:p>
  <w:p w:rsidR="00E659D3" w:rsidRDefault="00E659D3">
    <w:pPr>
      <w:pStyle w:val="Header"/>
      <w:rPr>
        <w:rFonts w:cs="Arial"/>
        <w:b/>
        <w:bC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Header"/>
      <w:rPr>
        <w:rFonts w:cs="Arial"/>
        <w:b/>
        <w:bCs/>
      </w:rPr>
    </w:pPr>
    <w:r>
      <w:rPr>
        <w:rFonts w:cs="Arial"/>
        <w:b/>
        <w:bCs/>
        <w:szCs w:val="28"/>
      </w:rPr>
      <w:t>INSTRUCTIONS: SCHEDULE 5A—CSO CONTROL (Green Infrastructure Runoff Controls)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2C4F9C" w:rsidRDefault="00E659D3" w:rsidP="002C4F9C">
    <w:pPr>
      <w:pStyle w:val="Header"/>
    </w:pPr>
    <w:r w:rsidRPr="003D5B09">
      <w:t>Green Long-Term Control Plan-EZ Template: A Planning Tool for CSO Control in Small Communities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Header"/>
      <w:rPr>
        <w:rFonts w:cs="Arial"/>
        <w:b/>
        <w:bCs/>
      </w:rPr>
    </w:pPr>
    <w:r>
      <w:rPr>
        <w:rFonts w:cs="Arial"/>
        <w:b/>
        <w:bCs/>
        <w:szCs w:val="28"/>
      </w:rPr>
      <w:t>INSTRUCTIONS: SCHEDULE 5—CSO CONTROL</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3D5B09" w:rsidRDefault="00E659D3" w:rsidP="003D5B09">
    <w:pPr>
      <w:pStyle w:val="Header"/>
    </w:pPr>
    <w:r w:rsidRPr="003D5B09">
      <w:t>Green Long-Term Control Plan-EZ Template: A Planning Tool for CSO Control in Small Communities</w:t>
    </w:r>
  </w:p>
  <w:p w:rsidR="00E659D3" w:rsidRDefault="00E659D3" w:rsidP="001C21EA">
    <w:pPr>
      <w:pStyle w:val="Header"/>
      <w:tabs>
        <w:tab w:val="clear" w:pos="4320"/>
        <w:tab w:val="clear" w:pos="8640"/>
        <w:tab w:val="center" w:pos="7020"/>
        <w:tab w:val="right" w:pos="10890"/>
      </w:tabs>
      <w:jc w:val="right"/>
      <w:rPr>
        <w:rFonts w:cs="Arial"/>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33747A" w:rsidRDefault="00E659D3" w:rsidP="0033747A">
    <w:pPr>
      <w:pStyle w:val="Header"/>
    </w:pPr>
    <w:r w:rsidRPr="003D5B09">
      <w:t>Green Long-Term Control Plan-EZ Template:  A Planning Tool for CSO Control in Small Communities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rsidP="00A24B29">
    <w:pPr>
      <w:pStyle w:val="Header"/>
      <w:rPr>
        <w:rFonts w:cs="Arial"/>
        <w:b/>
        <w:bCs/>
      </w:rPr>
    </w:pPr>
  </w:p>
  <w:p w:rsidR="00E659D3" w:rsidRDefault="00E659D3" w:rsidP="00A24B29">
    <w:pPr>
      <w:pStyle w:val="Header"/>
      <w:rPr>
        <w:rFonts w:cs="Arial"/>
        <w:b/>
        <w:bCs/>
      </w:rPr>
    </w:pPr>
    <w:r>
      <w:rPr>
        <w:rFonts w:cs="Arial"/>
        <w:b/>
        <w:bCs/>
      </w:rPr>
      <w:t>INSTRUCTIONS: SCHEDULE 6 – CSO FINANCIAL CAPABILITY</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AF4904" w:rsidRDefault="00E659D3" w:rsidP="00AF4904">
    <w:pPr>
      <w:pStyle w:val="Header"/>
    </w:pPr>
    <w:r w:rsidRPr="003D5B09">
      <w:t>Green Long-Term Control Plan-EZ Template: A Planning Tool for C</w:t>
    </w:r>
    <w:r>
      <w:t>SO Control in Small Communities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Header"/>
      <w:jc w:val="right"/>
      <w:rPr>
        <w:rFonts w:cs="Arial"/>
        <w:b/>
        <w:bCs/>
      </w:rPr>
    </w:pPr>
    <w:r>
      <w:rPr>
        <w:rFonts w:cs="Arial"/>
        <w:b/>
        <w:bCs/>
      </w:rPr>
      <w:tab/>
      <w:t>The LTCP-EZ Template: A Planning Tool for CSO Control in Small Communities</w:t>
    </w:r>
  </w:p>
  <w:p w:rsidR="00E659D3" w:rsidRDefault="00E659D3">
    <w:pPr>
      <w:pStyle w:val="Header"/>
      <w:rPr>
        <w:rFonts w:cs="Arial"/>
        <w:b/>
        <w:bC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3D5B09" w:rsidRDefault="00E659D3" w:rsidP="003D5B09">
    <w:pPr>
      <w:pStyle w:val="Header"/>
    </w:pPr>
    <w:r w:rsidRPr="003D5B09">
      <w:t>Green Long-Term Control Plan-EZ Template: A Planning Tool for CSO Control in Small Communities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1E5DC0" w:rsidRDefault="00E659D3" w:rsidP="001E5DC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1E5DC0" w:rsidRDefault="00E659D3" w:rsidP="001E5DC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1E5DC0" w:rsidRDefault="00E659D3" w:rsidP="001E5DC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rsidP="00B51873">
    <w:pPr>
      <w:pStyle w:val="Header"/>
      <w:tabs>
        <w:tab w:val="clear" w:pos="4320"/>
        <w:tab w:val="center" w:pos="8640"/>
        <w:tab w:val="right" w:pos="10890"/>
      </w:tabs>
      <w:jc w:val="right"/>
      <w:rPr>
        <w:rFonts w:cs="Arial"/>
        <w:b/>
        <w:bCs/>
      </w:rPr>
    </w:pPr>
    <w:r>
      <w:rPr>
        <w:rFonts w:cs="Arial"/>
        <w:b/>
        <w:bCs/>
      </w:rPr>
      <w:t>Green Long-Term Control Plan-EZ Template: A Planning Tool for CSO Control in Small Communities</w:t>
    </w:r>
    <w:r>
      <w:rPr>
        <w:rFonts w:cs="Arial"/>
        <w:b/>
        <w:bCs/>
      </w:rPr>
      <w:tab/>
    </w:r>
  </w:p>
  <w:p w:rsidR="00E659D3" w:rsidRPr="00E179EB" w:rsidRDefault="00E659D3" w:rsidP="00E179EB">
    <w:pPr>
      <w:pStyle w:val="Header"/>
    </w:pPr>
  </w:p>
  <w:p w:rsidR="00E659D3" w:rsidRDefault="00E659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7E220C" w:rsidRDefault="00E659D3" w:rsidP="007E220C">
    <w:pPr>
      <w:pStyle w:val="Header"/>
    </w:pPr>
    <w:r>
      <w:rPr>
        <w:noProof/>
      </w:rPr>
      <w:drawing>
        <wp:anchor distT="0" distB="0" distL="114300" distR="114300" simplePos="0" relativeHeight="251657728" behindDoc="0" locked="0" layoutInCell="1" allowOverlap="1">
          <wp:simplePos x="0" y="0"/>
          <wp:positionH relativeFrom="column">
            <wp:posOffset>-287020</wp:posOffset>
          </wp:positionH>
          <wp:positionV relativeFrom="paragraph">
            <wp:posOffset>127000</wp:posOffset>
          </wp:positionV>
          <wp:extent cx="1285875" cy="504825"/>
          <wp:effectExtent l="19050" t="0" r="9525" b="0"/>
          <wp:wrapSquare wrapText="bothSides"/>
          <wp:docPr id="15" name="Picture 15" descr="epa_logo_vert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a_logo_vert_medium"/>
                  <pic:cNvPicPr>
                    <a:picLocks noChangeAspect="1" noChangeArrowheads="1"/>
                  </pic:cNvPicPr>
                </pic:nvPicPr>
                <pic:blipFill>
                  <a:blip r:embed="rId1"/>
                  <a:srcRect/>
                  <a:stretch>
                    <a:fillRect/>
                  </a:stretch>
                </pic:blipFill>
                <pic:spPr bwMode="auto">
                  <a:xfrm>
                    <a:off x="0" y="0"/>
                    <a:ext cx="1285875" cy="504825"/>
                  </a:xfrm>
                  <a:prstGeom prst="rect">
                    <a:avLst/>
                  </a:prstGeom>
                  <a:noFill/>
                  <a:ln w="9525">
                    <a:noFill/>
                    <a:miter lim="800000"/>
                    <a:headEnd/>
                    <a:tailEnd/>
                  </a:ln>
                </pic:spPr>
              </pic:pic>
            </a:graphicData>
          </a:graphic>
        </wp:anchor>
      </w:drawing>
    </w:r>
    <w:r w:rsidRPr="007E220C">
      <w:t xml:space="preserve"> </w:t>
    </w:r>
  </w:p>
  <w:tbl>
    <w:tblPr>
      <w:tblW w:w="0" w:type="auto"/>
      <w:tblInd w:w="2088" w:type="dxa"/>
      <w:tblLook w:val="01E0" w:firstRow="1" w:lastRow="1" w:firstColumn="1" w:lastColumn="1" w:noHBand="0" w:noVBand="0"/>
    </w:tblPr>
    <w:tblGrid>
      <w:gridCol w:w="2778"/>
      <w:gridCol w:w="2593"/>
      <w:gridCol w:w="1901"/>
    </w:tblGrid>
    <w:tr w:rsidR="00E659D3" w:rsidTr="00CF36A9">
      <w:tc>
        <w:tcPr>
          <w:tcW w:w="2880" w:type="dxa"/>
        </w:tcPr>
        <w:p w:rsidR="00E659D3" w:rsidRPr="00CF36A9" w:rsidRDefault="00E659D3" w:rsidP="007E220C">
          <w:pPr>
            <w:pStyle w:val="Header"/>
            <w:rPr>
              <w:rFonts w:cs="Arial"/>
              <w:sz w:val="20"/>
            </w:rPr>
          </w:pPr>
          <w:smartTag w:uri="urn:schemas-microsoft-com:office:smarttags" w:element="country-region">
            <w:smartTag w:uri="urn:schemas-microsoft-com:office:smarttags" w:element="place">
              <w:r w:rsidRPr="00CF36A9">
                <w:rPr>
                  <w:rFonts w:cs="Arial"/>
                  <w:sz w:val="20"/>
                </w:rPr>
                <w:t>United States</w:t>
              </w:r>
            </w:smartTag>
          </w:smartTag>
        </w:p>
        <w:p w:rsidR="00E659D3" w:rsidRPr="00CF36A9" w:rsidRDefault="00E659D3" w:rsidP="007E220C">
          <w:pPr>
            <w:pStyle w:val="Header"/>
            <w:rPr>
              <w:rFonts w:cs="Arial"/>
              <w:sz w:val="20"/>
            </w:rPr>
          </w:pPr>
          <w:r w:rsidRPr="00CF36A9">
            <w:rPr>
              <w:rFonts w:cs="Arial"/>
              <w:sz w:val="20"/>
            </w:rPr>
            <w:t>Environmental Protection</w:t>
          </w:r>
        </w:p>
        <w:p w:rsidR="00E659D3" w:rsidRDefault="00E659D3" w:rsidP="007E220C">
          <w:pPr>
            <w:pStyle w:val="Header"/>
          </w:pPr>
          <w:r w:rsidRPr="00CF36A9">
            <w:rPr>
              <w:rFonts w:cs="Arial"/>
              <w:sz w:val="20"/>
            </w:rPr>
            <w:t>Agency</w:t>
          </w:r>
        </w:p>
      </w:tc>
      <w:tc>
        <w:tcPr>
          <w:tcW w:w="2610" w:type="dxa"/>
        </w:tcPr>
        <w:p w:rsidR="00E659D3" w:rsidRPr="00CF36A9" w:rsidRDefault="00E659D3" w:rsidP="007E220C">
          <w:pPr>
            <w:pStyle w:val="Header"/>
            <w:rPr>
              <w:rFonts w:cs="Arial"/>
              <w:sz w:val="20"/>
            </w:rPr>
          </w:pPr>
          <w:r w:rsidRPr="00CF36A9">
            <w:rPr>
              <w:rFonts w:cs="Arial"/>
              <w:sz w:val="20"/>
            </w:rPr>
            <w:t>Office of Water (4203)</w:t>
          </w:r>
        </w:p>
        <w:p w:rsidR="00E659D3" w:rsidRPr="00CF36A9" w:rsidRDefault="00E659D3" w:rsidP="007E220C">
          <w:pPr>
            <w:pStyle w:val="Header"/>
            <w:rPr>
              <w:rFonts w:cs="Arial"/>
              <w:sz w:val="20"/>
            </w:rPr>
          </w:pPr>
          <w:smartTag w:uri="urn:schemas-microsoft-com:office:smarttags" w:element="place">
            <w:smartTag w:uri="urn:schemas-microsoft-com:office:smarttags" w:element="City">
              <w:r w:rsidRPr="00CF36A9">
                <w:rPr>
                  <w:rFonts w:cs="Arial"/>
                  <w:sz w:val="20"/>
                </w:rPr>
                <w:t>Washington</w:t>
              </w:r>
            </w:smartTag>
            <w:r w:rsidRPr="00CF36A9">
              <w:rPr>
                <w:rFonts w:cs="Arial"/>
                <w:sz w:val="20"/>
              </w:rPr>
              <w:t xml:space="preserve">, </w:t>
            </w:r>
            <w:smartTag w:uri="urn:schemas-microsoft-com:office:smarttags" w:element="State">
              <w:r w:rsidRPr="00CF36A9">
                <w:rPr>
                  <w:rFonts w:cs="Arial"/>
                  <w:sz w:val="20"/>
                </w:rPr>
                <w:t>DC</w:t>
              </w:r>
            </w:smartTag>
            <w:r w:rsidRPr="00CF36A9">
              <w:rPr>
                <w:rFonts w:cs="Arial"/>
                <w:sz w:val="20"/>
              </w:rPr>
              <w:t xml:space="preserve"> </w:t>
            </w:r>
            <w:smartTag w:uri="urn:schemas-microsoft-com:office:smarttags" w:element="PostalCode">
              <w:r w:rsidRPr="00CF36A9">
                <w:rPr>
                  <w:rFonts w:cs="Arial"/>
                  <w:sz w:val="20"/>
                </w:rPr>
                <w:t>20460</w:t>
              </w:r>
            </w:smartTag>
          </w:smartTag>
        </w:p>
        <w:p w:rsidR="00E659D3" w:rsidRDefault="00E659D3" w:rsidP="007E220C">
          <w:pPr>
            <w:pStyle w:val="Header"/>
          </w:pPr>
          <w:r w:rsidRPr="00CF36A9">
            <w:rPr>
              <w:rFonts w:cs="Arial"/>
              <w:sz w:val="20"/>
            </w:rPr>
            <w:t>www.epa.gov/npdes/cso</w:t>
          </w:r>
        </w:p>
      </w:tc>
      <w:tc>
        <w:tcPr>
          <w:tcW w:w="1998" w:type="dxa"/>
        </w:tcPr>
        <w:p w:rsidR="00E659D3" w:rsidRPr="00CF36A9" w:rsidRDefault="00E659D3" w:rsidP="00CF36A9">
          <w:pPr>
            <w:pStyle w:val="Header"/>
            <w:jc w:val="right"/>
            <w:rPr>
              <w:rFonts w:cs="Arial"/>
              <w:sz w:val="20"/>
            </w:rPr>
          </w:pPr>
          <w:r w:rsidRPr="00CF36A9">
            <w:rPr>
              <w:rFonts w:cs="Arial"/>
              <w:sz w:val="20"/>
            </w:rPr>
            <w:t>EPA-833-R-09-001</w:t>
          </w:r>
        </w:p>
        <w:p w:rsidR="00E659D3" w:rsidRDefault="00E659D3" w:rsidP="0074367D">
          <w:pPr>
            <w:pStyle w:val="Header"/>
            <w:jc w:val="right"/>
          </w:pPr>
          <w:r>
            <w:rPr>
              <w:rFonts w:cs="Arial"/>
              <w:sz w:val="20"/>
            </w:rPr>
            <w:t>April 2011</w:t>
          </w:r>
        </w:p>
      </w:tc>
    </w:tr>
  </w:tbl>
  <w:p w:rsidR="00E659D3" w:rsidRPr="007E220C" w:rsidRDefault="00E659D3" w:rsidP="007E220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A13E9F" w:rsidRDefault="00E659D3" w:rsidP="00A13E9F">
    <w:pPr>
      <w:pStyle w:val="Header"/>
    </w:pPr>
    <w:r>
      <w:fldChar w:fldCharType="begin"/>
    </w:r>
    <w:r>
      <w:instrText xml:space="preserve"> styleref "Heading 1A" </w:instrText>
    </w:r>
    <w:r>
      <w:fldChar w:fldCharType="end"/>
    </w:r>
  </w:p>
  <w:p w:rsidR="00E659D3" w:rsidRDefault="00E659D3"/>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A13E9F" w:rsidRDefault="00430DFB" w:rsidP="00A13E9F">
    <w:pPr>
      <w:pStyle w:val="Header"/>
    </w:pPr>
    <w:r>
      <w:fldChar w:fldCharType="begin"/>
    </w:r>
    <w:r>
      <w:instrText xml:space="preserve"> styleref "Heading 1A" </w:instrText>
    </w:r>
    <w:r>
      <w:fldChar w:fldCharType="separate"/>
    </w:r>
    <w:r w:rsidR="00DC72D1">
      <w:rPr>
        <w:noProof/>
      </w:rPr>
      <w:t>Appendix C. Cost Estimates for Green LTCP-EZ Template, Schedules 5A and 5B – CSO Control</w:t>
    </w:r>
    <w:r>
      <w:rPr>
        <w:noProof/>
      </w:rPr>
      <w:fldChar w:fldCharType="end"/>
    </w:r>
  </w:p>
  <w:p w:rsidR="00E659D3" w:rsidRDefault="00E659D3"/>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A13E9F" w:rsidRDefault="00430DFB" w:rsidP="00A13E9F">
    <w:pPr>
      <w:pStyle w:val="Header"/>
    </w:pPr>
    <w:r>
      <w:fldChar w:fldCharType="begin"/>
    </w:r>
    <w:r>
      <w:instrText xml:space="preserve"> styleref "Heading 1A" </w:instrText>
    </w:r>
    <w:r>
      <w:fldChar w:fldCharType="separate"/>
    </w:r>
    <w:r w:rsidR="00DC72D1">
      <w:rPr>
        <w:noProof/>
      </w:rPr>
      <w:t>Appendix D. Green Infrastructure Runoff Controls Fact Sheets and Additional Information for Schedule 5A – CSO Runoff Control</w:t>
    </w:r>
    <w:r>
      <w:rPr>
        <w:noProof/>
      </w:rPr>
      <w:fldChar w:fldCharType="end"/>
    </w:r>
  </w:p>
  <w:p w:rsidR="00E659D3" w:rsidRDefault="00E659D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Header"/>
      <w:rPr>
        <w:rFonts w:cs="Arial"/>
        <w:b/>
        <w:bCs/>
      </w:rPr>
    </w:pPr>
    <w:r>
      <w:rPr>
        <w:rFonts w:cs="Arial"/>
        <w:b/>
        <w:bCs/>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3D5B09" w:rsidRDefault="00E659D3" w:rsidP="003D5B09">
    <w:pPr>
      <w:pStyle w:val="Header"/>
    </w:pPr>
    <w:r w:rsidRPr="003D5B09">
      <w:t>Green Long-Term Control Plan-EZ Template:  A Planning Tool for CSO Control in Small Communities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Header"/>
      <w:ind w:right="360" w:firstLine="360"/>
      <w:rPr>
        <w:rFonts w:cs="Arial"/>
        <w:b/>
        <w:bCs/>
      </w:rPr>
    </w:pPr>
    <w:r>
      <w:rPr>
        <w:rFonts w:cs="Arial"/>
        <w:b/>
        <w:bCs/>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D35979" w:rsidRDefault="00E659D3" w:rsidP="00D35979">
    <w:pPr>
      <w:pStyle w:val="Header"/>
    </w:pPr>
    <w:r w:rsidRPr="003D5B09">
      <w:t>Green Long-Term Control Plan-EZ Template: A Planning Tool for CSO Control in Small Communities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Default="00E659D3">
    <w:pPr>
      <w:pStyle w:val="Header"/>
      <w:jc w:val="both"/>
      <w:rPr>
        <w:rFonts w:cs="Arial"/>
        <w:b/>
        <w:bCs/>
      </w:rPr>
    </w:pPr>
    <w:r>
      <w:rPr>
        <w:rFonts w:cs="Arial"/>
        <w:b/>
        <w:bCs/>
        <w:szCs w:val="28"/>
      </w:rPr>
      <w:t>GENERAL INSTRUCTIONS: GREEN LTCP-EZ TEMPLATE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9D3" w:rsidRPr="003D5B09" w:rsidRDefault="00E659D3" w:rsidP="003D5B09">
    <w:pPr>
      <w:pStyle w:val="Header"/>
    </w:pPr>
    <w:r w:rsidRPr="003D5B09">
      <w:t>Green Long-Term Control Plan-EZ Template: A Planning Tool for CSO Control in Small Communities</w:t>
    </w:r>
  </w:p>
  <w:p w:rsidR="00E659D3" w:rsidRDefault="00E659D3">
    <w:pPr>
      <w:pStyle w:val="Header"/>
      <w:jc w:val="right"/>
      <w:rPr>
        <w:rFonts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586A2A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BB6A6D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1B09E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EA6352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DC221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03A9EB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ED0D7A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B22066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9A5D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401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95B57"/>
    <w:multiLevelType w:val="hybridMultilevel"/>
    <w:tmpl w:val="C50603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1314DE"/>
    <w:multiLevelType w:val="hybridMultilevel"/>
    <w:tmpl w:val="E236E934"/>
    <w:lvl w:ilvl="0" w:tplc="2396979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4B7A40"/>
    <w:multiLevelType w:val="hybridMultilevel"/>
    <w:tmpl w:val="7E143094"/>
    <w:lvl w:ilvl="0" w:tplc="17ACAAB2">
      <w:start w:val="1"/>
      <w:numFmt w:val="bullet"/>
      <w:lvlText w:val=""/>
      <w:lvlJc w:val="left"/>
      <w:pPr>
        <w:tabs>
          <w:tab w:val="num" w:pos="720"/>
        </w:tabs>
        <w:ind w:left="720" w:hanging="360"/>
      </w:pPr>
      <w:rPr>
        <w:rFonts w:ascii="Wingdings" w:hAnsi="Wingdings" w:hint="default"/>
      </w:rPr>
    </w:lvl>
    <w:lvl w:ilvl="1" w:tplc="013255F4" w:tentative="1">
      <w:start w:val="1"/>
      <w:numFmt w:val="bullet"/>
      <w:lvlText w:val=""/>
      <w:lvlJc w:val="left"/>
      <w:pPr>
        <w:tabs>
          <w:tab w:val="num" w:pos="1440"/>
        </w:tabs>
        <w:ind w:left="1440" w:hanging="360"/>
      </w:pPr>
      <w:rPr>
        <w:rFonts w:ascii="Wingdings" w:hAnsi="Wingdings" w:hint="default"/>
      </w:rPr>
    </w:lvl>
    <w:lvl w:ilvl="2" w:tplc="F0021582" w:tentative="1">
      <w:start w:val="1"/>
      <w:numFmt w:val="bullet"/>
      <w:lvlText w:val=""/>
      <w:lvlJc w:val="left"/>
      <w:pPr>
        <w:tabs>
          <w:tab w:val="num" w:pos="2160"/>
        </w:tabs>
        <w:ind w:left="2160" w:hanging="360"/>
      </w:pPr>
      <w:rPr>
        <w:rFonts w:ascii="Wingdings" w:hAnsi="Wingdings" w:hint="default"/>
      </w:rPr>
    </w:lvl>
    <w:lvl w:ilvl="3" w:tplc="9402B256" w:tentative="1">
      <w:start w:val="1"/>
      <w:numFmt w:val="bullet"/>
      <w:lvlText w:val=""/>
      <w:lvlJc w:val="left"/>
      <w:pPr>
        <w:tabs>
          <w:tab w:val="num" w:pos="2880"/>
        </w:tabs>
        <w:ind w:left="2880" w:hanging="360"/>
      </w:pPr>
      <w:rPr>
        <w:rFonts w:ascii="Wingdings" w:hAnsi="Wingdings" w:hint="default"/>
      </w:rPr>
    </w:lvl>
    <w:lvl w:ilvl="4" w:tplc="FD02E05C" w:tentative="1">
      <w:start w:val="1"/>
      <w:numFmt w:val="bullet"/>
      <w:lvlText w:val=""/>
      <w:lvlJc w:val="left"/>
      <w:pPr>
        <w:tabs>
          <w:tab w:val="num" w:pos="3600"/>
        </w:tabs>
        <w:ind w:left="3600" w:hanging="360"/>
      </w:pPr>
      <w:rPr>
        <w:rFonts w:ascii="Wingdings" w:hAnsi="Wingdings" w:hint="default"/>
      </w:rPr>
    </w:lvl>
    <w:lvl w:ilvl="5" w:tplc="B94636FC" w:tentative="1">
      <w:start w:val="1"/>
      <w:numFmt w:val="bullet"/>
      <w:lvlText w:val=""/>
      <w:lvlJc w:val="left"/>
      <w:pPr>
        <w:tabs>
          <w:tab w:val="num" w:pos="4320"/>
        </w:tabs>
        <w:ind w:left="4320" w:hanging="360"/>
      </w:pPr>
      <w:rPr>
        <w:rFonts w:ascii="Wingdings" w:hAnsi="Wingdings" w:hint="default"/>
      </w:rPr>
    </w:lvl>
    <w:lvl w:ilvl="6" w:tplc="ED1CE0CE" w:tentative="1">
      <w:start w:val="1"/>
      <w:numFmt w:val="bullet"/>
      <w:lvlText w:val=""/>
      <w:lvlJc w:val="left"/>
      <w:pPr>
        <w:tabs>
          <w:tab w:val="num" w:pos="5040"/>
        </w:tabs>
        <w:ind w:left="5040" w:hanging="360"/>
      </w:pPr>
      <w:rPr>
        <w:rFonts w:ascii="Wingdings" w:hAnsi="Wingdings" w:hint="default"/>
      </w:rPr>
    </w:lvl>
    <w:lvl w:ilvl="7" w:tplc="E2545470" w:tentative="1">
      <w:start w:val="1"/>
      <w:numFmt w:val="bullet"/>
      <w:lvlText w:val=""/>
      <w:lvlJc w:val="left"/>
      <w:pPr>
        <w:tabs>
          <w:tab w:val="num" w:pos="5760"/>
        </w:tabs>
        <w:ind w:left="5760" w:hanging="360"/>
      </w:pPr>
      <w:rPr>
        <w:rFonts w:ascii="Wingdings" w:hAnsi="Wingdings" w:hint="default"/>
      </w:rPr>
    </w:lvl>
    <w:lvl w:ilvl="8" w:tplc="CFFA447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9B0E68"/>
    <w:multiLevelType w:val="hybridMultilevel"/>
    <w:tmpl w:val="DA36DEE4"/>
    <w:lvl w:ilvl="0" w:tplc="73D8A56E">
      <w:start w:val="1"/>
      <w:numFmt w:val="bullet"/>
      <w:lvlText w:val=""/>
      <w:lvlJc w:val="left"/>
      <w:pPr>
        <w:tabs>
          <w:tab w:val="num" w:pos="720"/>
        </w:tabs>
        <w:ind w:left="720" w:hanging="360"/>
      </w:pPr>
      <w:rPr>
        <w:rFonts w:ascii="Wingdings" w:hAnsi="Wingdings" w:hint="default"/>
      </w:rPr>
    </w:lvl>
    <w:lvl w:ilvl="1" w:tplc="E456408E" w:tentative="1">
      <w:start w:val="1"/>
      <w:numFmt w:val="bullet"/>
      <w:lvlText w:val=""/>
      <w:lvlJc w:val="left"/>
      <w:pPr>
        <w:tabs>
          <w:tab w:val="num" w:pos="1440"/>
        </w:tabs>
        <w:ind w:left="1440" w:hanging="360"/>
      </w:pPr>
      <w:rPr>
        <w:rFonts w:ascii="Wingdings" w:hAnsi="Wingdings" w:hint="default"/>
      </w:rPr>
    </w:lvl>
    <w:lvl w:ilvl="2" w:tplc="17D6B6B6" w:tentative="1">
      <w:start w:val="1"/>
      <w:numFmt w:val="bullet"/>
      <w:lvlText w:val=""/>
      <w:lvlJc w:val="left"/>
      <w:pPr>
        <w:tabs>
          <w:tab w:val="num" w:pos="2160"/>
        </w:tabs>
        <w:ind w:left="2160" w:hanging="360"/>
      </w:pPr>
      <w:rPr>
        <w:rFonts w:ascii="Wingdings" w:hAnsi="Wingdings" w:hint="default"/>
      </w:rPr>
    </w:lvl>
    <w:lvl w:ilvl="3" w:tplc="1940293E" w:tentative="1">
      <w:start w:val="1"/>
      <w:numFmt w:val="bullet"/>
      <w:lvlText w:val=""/>
      <w:lvlJc w:val="left"/>
      <w:pPr>
        <w:tabs>
          <w:tab w:val="num" w:pos="2880"/>
        </w:tabs>
        <w:ind w:left="2880" w:hanging="360"/>
      </w:pPr>
      <w:rPr>
        <w:rFonts w:ascii="Wingdings" w:hAnsi="Wingdings" w:hint="default"/>
      </w:rPr>
    </w:lvl>
    <w:lvl w:ilvl="4" w:tplc="A59E5088" w:tentative="1">
      <w:start w:val="1"/>
      <w:numFmt w:val="bullet"/>
      <w:lvlText w:val=""/>
      <w:lvlJc w:val="left"/>
      <w:pPr>
        <w:tabs>
          <w:tab w:val="num" w:pos="3600"/>
        </w:tabs>
        <w:ind w:left="3600" w:hanging="360"/>
      </w:pPr>
      <w:rPr>
        <w:rFonts w:ascii="Wingdings" w:hAnsi="Wingdings" w:hint="default"/>
      </w:rPr>
    </w:lvl>
    <w:lvl w:ilvl="5" w:tplc="C9A65A2C" w:tentative="1">
      <w:start w:val="1"/>
      <w:numFmt w:val="bullet"/>
      <w:lvlText w:val=""/>
      <w:lvlJc w:val="left"/>
      <w:pPr>
        <w:tabs>
          <w:tab w:val="num" w:pos="4320"/>
        </w:tabs>
        <w:ind w:left="4320" w:hanging="360"/>
      </w:pPr>
      <w:rPr>
        <w:rFonts w:ascii="Wingdings" w:hAnsi="Wingdings" w:hint="default"/>
      </w:rPr>
    </w:lvl>
    <w:lvl w:ilvl="6" w:tplc="AE36FAEA" w:tentative="1">
      <w:start w:val="1"/>
      <w:numFmt w:val="bullet"/>
      <w:lvlText w:val=""/>
      <w:lvlJc w:val="left"/>
      <w:pPr>
        <w:tabs>
          <w:tab w:val="num" w:pos="5040"/>
        </w:tabs>
        <w:ind w:left="5040" w:hanging="360"/>
      </w:pPr>
      <w:rPr>
        <w:rFonts w:ascii="Wingdings" w:hAnsi="Wingdings" w:hint="default"/>
      </w:rPr>
    </w:lvl>
    <w:lvl w:ilvl="7" w:tplc="84E6F264" w:tentative="1">
      <w:start w:val="1"/>
      <w:numFmt w:val="bullet"/>
      <w:lvlText w:val=""/>
      <w:lvlJc w:val="left"/>
      <w:pPr>
        <w:tabs>
          <w:tab w:val="num" w:pos="5760"/>
        </w:tabs>
        <w:ind w:left="5760" w:hanging="360"/>
      </w:pPr>
      <w:rPr>
        <w:rFonts w:ascii="Wingdings" w:hAnsi="Wingdings" w:hint="default"/>
      </w:rPr>
    </w:lvl>
    <w:lvl w:ilvl="8" w:tplc="A1E09EA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120F52"/>
    <w:multiLevelType w:val="hybridMultilevel"/>
    <w:tmpl w:val="DBCE0348"/>
    <w:lvl w:ilvl="0" w:tplc="545CAEFA">
      <w:start w:val="1"/>
      <w:numFmt w:val="bullet"/>
      <w:lvlText w:val="•"/>
      <w:lvlJc w:val="left"/>
      <w:pPr>
        <w:tabs>
          <w:tab w:val="num" w:pos="720"/>
        </w:tabs>
        <w:ind w:left="720" w:hanging="360"/>
      </w:pPr>
      <w:rPr>
        <w:rFonts w:ascii="Franklin Gothic Demi" w:hAnsi="Franklin Gothic Demi" w:hint="default"/>
      </w:rPr>
    </w:lvl>
    <w:lvl w:ilvl="1" w:tplc="394C9034" w:tentative="1">
      <w:start w:val="1"/>
      <w:numFmt w:val="bullet"/>
      <w:lvlText w:val="•"/>
      <w:lvlJc w:val="left"/>
      <w:pPr>
        <w:tabs>
          <w:tab w:val="num" w:pos="1440"/>
        </w:tabs>
        <w:ind w:left="1440" w:hanging="360"/>
      </w:pPr>
      <w:rPr>
        <w:rFonts w:ascii="Franklin Gothic Demi" w:hAnsi="Franklin Gothic Demi" w:hint="default"/>
      </w:rPr>
    </w:lvl>
    <w:lvl w:ilvl="2" w:tplc="A538DDDC" w:tentative="1">
      <w:start w:val="1"/>
      <w:numFmt w:val="bullet"/>
      <w:lvlText w:val="•"/>
      <w:lvlJc w:val="left"/>
      <w:pPr>
        <w:tabs>
          <w:tab w:val="num" w:pos="2160"/>
        </w:tabs>
        <w:ind w:left="2160" w:hanging="360"/>
      </w:pPr>
      <w:rPr>
        <w:rFonts w:ascii="Franklin Gothic Demi" w:hAnsi="Franklin Gothic Demi" w:hint="default"/>
      </w:rPr>
    </w:lvl>
    <w:lvl w:ilvl="3" w:tplc="DB025BC8" w:tentative="1">
      <w:start w:val="1"/>
      <w:numFmt w:val="bullet"/>
      <w:lvlText w:val="•"/>
      <w:lvlJc w:val="left"/>
      <w:pPr>
        <w:tabs>
          <w:tab w:val="num" w:pos="2880"/>
        </w:tabs>
        <w:ind w:left="2880" w:hanging="360"/>
      </w:pPr>
      <w:rPr>
        <w:rFonts w:ascii="Franklin Gothic Demi" w:hAnsi="Franklin Gothic Demi" w:hint="default"/>
      </w:rPr>
    </w:lvl>
    <w:lvl w:ilvl="4" w:tplc="83AE0818" w:tentative="1">
      <w:start w:val="1"/>
      <w:numFmt w:val="bullet"/>
      <w:lvlText w:val="•"/>
      <w:lvlJc w:val="left"/>
      <w:pPr>
        <w:tabs>
          <w:tab w:val="num" w:pos="3600"/>
        </w:tabs>
        <w:ind w:left="3600" w:hanging="360"/>
      </w:pPr>
      <w:rPr>
        <w:rFonts w:ascii="Franklin Gothic Demi" w:hAnsi="Franklin Gothic Demi" w:hint="default"/>
      </w:rPr>
    </w:lvl>
    <w:lvl w:ilvl="5" w:tplc="CE96E180" w:tentative="1">
      <w:start w:val="1"/>
      <w:numFmt w:val="bullet"/>
      <w:lvlText w:val="•"/>
      <w:lvlJc w:val="left"/>
      <w:pPr>
        <w:tabs>
          <w:tab w:val="num" w:pos="4320"/>
        </w:tabs>
        <w:ind w:left="4320" w:hanging="360"/>
      </w:pPr>
      <w:rPr>
        <w:rFonts w:ascii="Franklin Gothic Demi" w:hAnsi="Franklin Gothic Demi" w:hint="default"/>
      </w:rPr>
    </w:lvl>
    <w:lvl w:ilvl="6" w:tplc="753A9BF6" w:tentative="1">
      <w:start w:val="1"/>
      <w:numFmt w:val="bullet"/>
      <w:lvlText w:val="•"/>
      <w:lvlJc w:val="left"/>
      <w:pPr>
        <w:tabs>
          <w:tab w:val="num" w:pos="5040"/>
        </w:tabs>
        <w:ind w:left="5040" w:hanging="360"/>
      </w:pPr>
      <w:rPr>
        <w:rFonts w:ascii="Franklin Gothic Demi" w:hAnsi="Franklin Gothic Demi" w:hint="default"/>
      </w:rPr>
    </w:lvl>
    <w:lvl w:ilvl="7" w:tplc="BA3E73B2" w:tentative="1">
      <w:start w:val="1"/>
      <w:numFmt w:val="bullet"/>
      <w:lvlText w:val="•"/>
      <w:lvlJc w:val="left"/>
      <w:pPr>
        <w:tabs>
          <w:tab w:val="num" w:pos="5760"/>
        </w:tabs>
        <w:ind w:left="5760" w:hanging="360"/>
      </w:pPr>
      <w:rPr>
        <w:rFonts w:ascii="Franklin Gothic Demi" w:hAnsi="Franklin Gothic Demi" w:hint="default"/>
      </w:rPr>
    </w:lvl>
    <w:lvl w:ilvl="8" w:tplc="E30C060A" w:tentative="1">
      <w:start w:val="1"/>
      <w:numFmt w:val="bullet"/>
      <w:lvlText w:val="•"/>
      <w:lvlJc w:val="left"/>
      <w:pPr>
        <w:tabs>
          <w:tab w:val="num" w:pos="6480"/>
        </w:tabs>
        <w:ind w:left="6480" w:hanging="360"/>
      </w:pPr>
      <w:rPr>
        <w:rFonts w:ascii="Franklin Gothic Demi" w:hAnsi="Franklin Gothic Demi" w:hint="default"/>
      </w:rPr>
    </w:lvl>
  </w:abstractNum>
  <w:abstractNum w:abstractNumId="15" w15:restartNumberingAfterBreak="0">
    <w:nsid w:val="097879E5"/>
    <w:multiLevelType w:val="hybridMultilevel"/>
    <w:tmpl w:val="9ED02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202E10"/>
    <w:multiLevelType w:val="hybridMultilevel"/>
    <w:tmpl w:val="C65AE360"/>
    <w:lvl w:ilvl="0" w:tplc="A3E2C27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6A2754"/>
    <w:multiLevelType w:val="hybridMultilevel"/>
    <w:tmpl w:val="E30601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AD41BE"/>
    <w:multiLevelType w:val="hybridMultilevel"/>
    <w:tmpl w:val="CD26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5F7D1B"/>
    <w:multiLevelType w:val="hybridMultilevel"/>
    <w:tmpl w:val="94E21ADE"/>
    <w:lvl w:ilvl="0" w:tplc="1B90E768">
      <w:start w:val="1"/>
      <w:numFmt w:val="decimal"/>
      <w:pStyle w:val="numberedlist"/>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FDE2DEB"/>
    <w:multiLevelType w:val="hybridMultilevel"/>
    <w:tmpl w:val="88188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053F61"/>
    <w:multiLevelType w:val="hybridMultilevel"/>
    <w:tmpl w:val="607877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7632F89"/>
    <w:multiLevelType w:val="hybridMultilevel"/>
    <w:tmpl w:val="0C7E95E2"/>
    <w:lvl w:ilvl="0" w:tplc="2396979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882D35"/>
    <w:multiLevelType w:val="hybridMultilevel"/>
    <w:tmpl w:val="F74E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107D2D"/>
    <w:multiLevelType w:val="hybridMultilevel"/>
    <w:tmpl w:val="E67E0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5B03B7"/>
    <w:multiLevelType w:val="hybridMultilevel"/>
    <w:tmpl w:val="460C9B6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4222874"/>
    <w:multiLevelType w:val="hybridMultilevel"/>
    <w:tmpl w:val="2452B5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6021D2E"/>
    <w:multiLevelType w:val="hybridMultilevel"/>
    <w:tmpl w:val="64126836"/>
    <w:lvl w:ilvl="0" w:tplc="04090001">
      <w:start w:val="1"/>
      <w:numFmt w:val="bullet"/>
      <w:lvlText w:val=""/>
      <w:lvlJc w:val="left"/>
      <w:pPr>
        <w:tabs>
          <w:tab w:val="num" w:pos="720"/>
        </w:tabs>
        <w:ind w:left="720" w:hanging="360"/>
      </w:pPr>
      <w:rPr>
        <w:rFonts w:ascii="Symbol" w:hAnsi="Symbol" w:hint="default"/>
      </w:rPr>
    </w:lvl>
    <w:lvl w:ilvl="1" w:tplc="A880DF7C">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7DE6D22"/>
    <w:multiLevelType w:val="hybridMultilevel"/>
    <w:tmpl w:val="097427C0"/>
    <w:lvl w:ilvl="0" w:tplc="5D889F10">
      <w:start w:val="1"/>
      <w:numFmt w:val="bullet"/>
      <w:lvlText w:val=""/>
      <w:lvlJc w:val="left"/>
      <w:pPr>
        <w:tabs>
          <w:tab w:val="num" w:pos="720"/>
        </w:tabs>
        <w:ind w:left="720" w:hanging="360"/>
      </w:pPr>
      <w:rPr>
        <w:rFonts w:ascii="Wingdings 2" w:hAnsi="Wingdings 2" w:hint="default"/>
      </w:rPr>
    </w:lvl>
    <w:lvl w:ilvl="1" w:tplc="9F4EFF56">
      <w:start w:val="871"/>
      <w:numFmt w:val="bullet"/>
      <w:lvlText w:val=""/>
      <w:lvlJc w:val="left"/>
      <w:pPr>
        <w:tabs>
          <w:tab w:val="num" w:pos="1440"/>
        </w:tabs>
        <w:ind w:left="1440" w:hanging="360"/>
      </w:pPr>
      <w:rPr>
        <w:rFonts w:ascii="Wingdings 2" w:hAnsi="Wingdings 2" w:hint="default"/>
      </w:rPr>
    </w:lvl>
    <w:lvl w:ilvl="2" w:tplc="3B14FFE8" w:tentative="1">
      <w:start w:val="1"/>
      <w:numFmt w:val="bullet"/>
      <w:lvlText w:val=""/>
      <w:lvlJc w:val="left"/>
      <w:pPr>
        <w:tabs>
          <w:tab w:val="num" w:pos="2160"/>
        </w:tabs>
        <w:ind w:left="2160" w:hanging="360"/>
      </w:pPr>
      <w:rPr>
        <w:rFonts w:ascii="Wingdings 2" w:hAnsi="Wingdings 2" w:hint="default"/>
      </w:rPr>
    </w:lvl>
    <w:lvl w:ilvl="3" w:tplc="29F868BA" w:tentative="1">
      <w:start w:val="1"/>
      <w:numFmt w:val="bullet"/>
      <w:lvlText w:val=""/>
      <w:lvlJc w:val="left"/>
      <w:pPr>
        <w:tabs>
          <w:tab w:val="num" w:pos="2880"/>
        </w:tabs>
        <w:ind w:left="2880" w:hanging="360"/>
      </w:pPr>
      <w:rPr>
        <w:rFonts w:ascii="Wingdings 2" w:hAnsi="Wingdings 2" w:hint="default"/>
      </w:rPr>
    </w:lvl>
    <w:lvl w:ilvl="4" w:tplc="0FCC6DBA" w:tentative="1">
      <w:start w:val="1"/>
      <w:numFmt w:val="bullet"/>
      <w:lvlText w:val=""/>
      <w:lvlJc w:val="left"/>
      <w:pPr>
        <w:tabs>
          <w:tab w:val="num" w:pos="3600"/>
        </w:tabs>
        <w:ind w:left="3600" w:hanging="360"/>
      </w:pPr>
      <w:rPr>
        <w:rFonts w:ascii="Wingdings 2" w:hAnsi="Wingdings 2" w:hint="default"/>
      </w:rPr>
    </w:lvl>
    <w:lvl w:ilvl="5" w:tplc="04404D02" w:tentative="1">
      <w:start w:val="1"/>
      <w:numFmt w:val="bullet"/>
      <w:lvlText w:val=""/>
      <w:lvlJc w:val="left"/>
      <w:pPr>
        <w:tabs>
          <w:tab w:val="num" w:pos="4320"/>
        </w:tabs>
        <w:ind w:left="4320" w:hanging="360"/>
      </w:pPr>
      <w:rPr>
        <w:rFonts w:ascii="Wingdings 2" w:hAnsi="Wingdings 2" w:hint="default"/>
      </w:rPr>
    </w:lvl>
    <w:lvl w:ilvl="6" w:tplc="D5CEBB44" w:tentative="1">
      <w:start w:val="1"/>
      <w:numFmt w:val="bullet"/>
      <w:lvlText w:val=""/>
      <w:lvlJc w:val="left"/>
      <w:pPr>
        <w:tabs>
          <w:tab w:val="num" w:pos="5040"/>
        </w:tabs>
        <w:ind w:left="5040" w:hanging="360"/>
      </w:pPr>
      <w:rPr>
        <w:rFonts w:ascii="Wingdings 2" w:hAnsi="Wingdings 2" w:hint="default"/>
      </w:rPr>
    </w:lvl>
    <w:lvl w:ilvl="7" w:tplc="A0FC7E76" w:tentative="1">
      <w:start w:val="1"/>
      <w:numFmt w:val="bullet"/>
      <w:lvlText w:val=""/>
      <w:lvlJc w:val="left"/>
      <w:pPr>
        <w:tabs>
          <w:tab w:val="num" w:pos="5760"/>
        </w:tabs>
        <w:ind w:left="5760" w:hanging="360"/>
      </w:pPr>
      <w:rPr>
        <w:rFonts w:ascii="Wingdings 2" w:hAnsi="Wingdings 2" w:hint="default"/>
      </w:rPr>
    </w:lvl>
    <w:lvl w:ilvl="8" w:tplc="FEBE4A42"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38832884"/>
    <w:multiLevelType w:val="multilevel"/>
    <w:tmpl w:val="B70A95CC"/>
    <w:lvl w:ilvl="0">
      <w:start w:val="1"/>
      <w:numFmt w:val="upperLetter"/>
      <w:lvlText w:val="%1."/>
      <w:lvlJc w:val="left"/>
      <w:pPr>
        <w:tabs>
          <w:tab w:val="num" w:pos="2160"/>
        </w:tabs>
        <w:ind w:left="2160" w:hanging="2160"/>
      </w:pPr>
      <w:rPr>
        <w:rFonts w:cs="Times New Roman" w:hint="default"/>
        <w:bCs w:val="0"/>
        <w:i w:val="0"/>
        <w:iCs w:val="0"/>
        <w:caps w:val="0"/>
        <w:smallCaps w:val="0"/>
        <w:strike w:val="0"/>
        <w:dstrike w:val="0"/>
        <w:vanish w:val="0"/>
        <w:color w:val="3366FF"/>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3EAE6BE3"/>
    <w:multiLevelType w:val="hybridMultilevel"/>
    <w:tmpl w:val="55865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1D5091"/>
    <w:multiLevelType w:val="hybridMultilevel"/>
    <w:tmpl w:val="0FB4D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B05324"/>
    <w:multiLevelType w:val="hybridMultilevel"/>
    <w:tmpl w:val="33A0F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E5137C"/>
    <w:multiLevelType w:val="hybridMultilevel"/>
    <w:tmpl w:val="5BD0D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491451"/>
    <w:multiLevelType w:val="hybridMultilevel"/>
    <w:tmpl w:val="53C2C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E56A80"/>
    <w:multiLevelType w:val="hybridMultilevel"/>
    <w:tmpl w:val="1458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D21715"/>
    <w:multiLevelType w:val="hybridMultilevel"/>
    <w:tmpl w:val="8BEC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732F20"/>
    <w:multiLevelType w:val="hybridMultilevel"/>
    <w:tmpl w:val="38B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631FAA"/>
    <w:multiLevelType w:val="hybridMultilevel"/>
    <w:tmpl w:val="EB92D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9258A8"/>
    <w:multiLevelType w:val="hybridMultilevel"/>
    <w:tmpl w:val="0E32DC44"/>
    <w:lvl w:ilvl="0" w:tplc="7D7099F2">
      <w:start w:val="1"/>
      <w:numFmt w:val="upperLetter"/>
      <w:pStyle w:val="Heading9"/>
      <w:lvlText w:val="%1."/>
      <w:lvlJc w:val="left"/>
      <w:pPr>
        <w:tabs>
          <w:tab w:val="num" w:pos="2160"/>
        </w:tabs>
        <w:ind w:left="2160" w:hanging="2160"/>
      </w:pPr>
      <w:rPr>
        <w:rFonts w:cs="Times New Roman" w:hint="default"/>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65353FC"/>
    <w:multiLevelType w:val="hybridMultilevel"/>
    <w:tmpl w:val="45A2EF6E"/>
    <w:lvl w:ilvl="0" w:tplc="A3E2C27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B6126F"/>
    <w:multiLevelType w:val="hybridMultilevel"/>
    <w:tmpl w:val="D0E22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0F4F17"/>
    <w:multiLevelType w:val="hybridMultilevel"/>
    <w:tmpl w:val="B282C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DD23D7"/>
    <w:multiLevelType w:val="hybridMultilevel"/>
    <w:tmpl w:val="2B6AC572"/>
    <w:lvl w:ilvl="0" w:tplc="599AFD7E">
      <w:start w:val="1"/>
      <w:numFmt w:val="bullet"/>
      <w:lvlText w:val="•"/>
      <w:lvlJc w:val="left"/>
      <w:pPr>
        <w:tabs>
          <w:tab w:val="num" w:pos="720"/>
        </w:tabs>
        <w:ind w:left="720" w:hanging="360"/>
      </w:pPr>
      <w:rPr>
        <w:rFonts w:ascii="Times New Roman" w:hAnsi="Times New Roman" w:hint="default"/>
      </w:rPr>
    </w:lvl>
    <w:lvl w:ilvl="1" w:tplc="814A8BDE" w:tentative="1">
      <w:start w:val="1"/>
      <w:numFmt w:val="bullet"/>
      <w:lvlText w:val="•"/>
      <w:lvlJc w:val="left"/>
      <w:pPr>
        <w:tabs>
          <w:tab w:val="num" w:pos="1440"/>
        </w:tabs>
        <w:ind w:left="1440" w:hanging="360"/>
      </w:pPr>
      <w:rPr>
        <w:rFonts w:ascii="Times New Roman" w:hAnsi="Times New Roman" w:hint="default"/>
      </w:rPr>
    </w:lvl>
    <w:lvl w:ilvl="2" w:tplc="413E74A2" w:tentative="1">
      <w:start w:val="1"/>
      <w:numFmt w:val="bullet"/>
      <w:lvlText w:val="•"/>
      <w:lvlJc w:val="left"/>
      <w:pPr>
        <w:tabs>
          <w:tab w:val="num" w:pos="2160"/>
        </w:tabs>
        <w:ind w:left="2160" w:hanging="360"/>
      </w:pPr>
      <w:rPr>
        <w:rFonts w:ascii="Times New Roman" w:hAnsi="Times New Roman" w:hint="default"/>
      </w:rPr>
    </w:lvl>
    <w:lvl w:ilvl="3" w:tplc="0666EA36" w:tentative="1">
      <w:start w:val="1"/>
      <w:numFmt w:val="bullet"/>
      <w:lvlText w:val="•"/>
      <w:lvlJc w:val="left"/>
      <w:pPr>
        <w:tabs>
          <w:tab w:val="num" w:pos="2880"/>
        </w:tabs>
        <w:ind w:left="2880" w:hanging="360"/>
      </w:pPr>
      <w:rPr>
        <w:rFonts w:ascii="Times New Roman" w:hAnsi="Times New Roman" w:hint="default"/>
      </w:rPr>
    </w:lvl>
    <w:lvl w:ilvl="4" w:tplc="AB0463FA" w:tentative="1">
      <w:start w:val="1"/>
      <w:numFmt w:val="bullet"/>
      <w:lvlText w:val="•"/>
      <w:lvlJc w:val="left"/>
      <w:pPr>
        <w:tabs>
          <w:tab w:val="num" w:pos="3600"/>
        </w:tabs>
        <w:ind w:left="3600" w:hanging="360"/>
      </w:pPr>
      <w:rPr>
        <w:rFonts w:ascii="Times New Roman" w:hAnsi="Times New Roman" w:hint="default"/>
      </w:rPr>
    </w:lvl>
    <w:lvl w:ilvl="5" w:tplc="E3969870" w:tentative="1">
      <w:start w:val="1"/>
      <w:numFmt w:val="bullet"/>
      <w:lvlText w:val="•"/>
      <w:lvlJc w:val="left"/>
      <w:pPr>
        <w:tabs>
          <w:tab w:val="num" w:pos="4320"/>
        </w:tabs>
        <w:ind w:left="4320" w:hanging="360"/>
      </w:pPr>
      <w:rPr>
        <w:rFonts w:ascii="Times New Roman" w:hAnsi="Times New Roman" w:hint="default"/>
      </w:rPr>
    </w:lvl>
    <w:lvl w:ilvl="6" w:tplc="AEBAB634" w:tentative="1">
      <w:start w:val="1"/>
      <w:numFmt w:val="bullet"/>
      <w:lvlText w:val="•"/>
      <w:lvlJc w:val="left"/>
      <w:pPr>
        <w:tabs>
          <w:tab w:val="num" w:pos="5040"/>
        </w:tabs>
        <w:ind w:left="5040" w:hanging="360"/>
      </w:pPr>
      <w:rPr>
        <w:rFonts w:ascii="Times New Roman" w:hAnsi="Times New Roman" w:hint="default"/>
      </w:rPr>
    </w:lvl>
    <w:lvl w:ilvl="7" w:tplc="6AA6EDD8" w:tentative="1">
      <w:start w:val="1"/>
      <w:numFmt w:val="bullet"/>
      <w:lvlText w:val="•"/>
      <w:lvlJc w:val="left"/>
      <w:pPr>
        <w:tabs>
          <w:tab w:val="num" w:pos="5760"/>
        </w:tabs>
        <w:ind w:left="5760" w:hanging="360"/>
      </w:pPr>
      <w:rPr>
        <w:rFonts w:ascii="Times New Roman" w:hAnsi="Times New Roman" w:hint="default"/>
      </w:rPr>
    </w:lvl>
    <w:lvl w:ilvl="8" w:tplc="05F61F22"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273056F"/>
    <w:multiLevelType w:val="hybridMultilevel"/>
    <w:tmpl w:val="4E9AF17C"/>
    <w:lvl w:ilvl="0" w:tplc="E3CA6170">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2E76A6A"/>
    <w:multiLevelType w:val="hybridMultilevel"/>
    <w:tmpl w:val="7BE20582"/>
    <w:lvl w:ilvl="0" w:tplc="9E628220">
      <w:start w:val="1"/>
      <w:numFmt w:val="bullet"/>
      <w:pStyle w:val="bulletsmal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50312A"/>
    <w:multiLevelType w:val="hybridMultilevel"/>
    <w:tmpl w:val="C966F8BE"/>
    <w:lvl w:ilvl="0" w:tplc="A3E2C27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9F384A"/>
    <w:multiLevelType w:val="multilevel"/>
    <w:tmpl w:val="7DB2741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abstractNumId w:val="26"/>
  </w:num>
  <w:num w:numId="2">
    <w:abstractNumId w:val="21"/>
  </w:num>
  <w:num w:numId="3">
    <w:abstractNumId w:val="44"/>
  </w:num>
  <w:num w:numId="4">
    <w:abstractNumId w:val="40"/>
  </w:num>
  <w:num w:numId="5">
    <w:abstractNumId w:val="46"/>
  </w:num>
  <w:num w:numId="6">
    <w:abstractNumId w:val="16"/>
  </w:num>
  <w:num w:numId="7">
    <w:abstractNumId w:val="27"/>
  </w:num>
  <w:num w:numId="8">
    <w:abstractNumId w:val="19"/>
  </w:num>
  <w:num w:numId="9">
    <w:abstractNumId w:val="20"/>
  </w:num>
  <w:num w:numId="10">
    <w:abstractNumId w:val="31"/>
  </w:num>
  <w:num w:numId="11">
    <w:abstractNumId w:val="47"/>
  </w:num>
  <w:num w:numId="12">
    <w:abstractNumId w:val="17"/>
  </w:num>
  <w:num w:numId="13">
    <w:abstractNumId w:val="10"/>
  </w:num>
  <w:num w:numId="14">
    <w:abstractNumId w:val="41"/>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4"/>
  </w:num>
  <w:num w:numId="26">
    <w:abstractNumId w:val="15"/>
  </w:num>
  <w:num w:numId="27">
    <w:abstractNumId w:val="33"/>
  </w:num>
  <w:num w:numId="28">
    <w:abstractNumId w:val="12"/>
  </w:num>
  <w:num w:numId="29">
    <w:abstractNumId w:val="45"/>
  </w:num>
  <w:num w:numId="30">
    <w:abstractNumId w:val="43"/>
  </w:num>
  <w:num w:numId="31">
    <w:abstractNumId w:val="14"/>
  </w:num>
  <w:num w:numId="32">
    <w:abstractNumId w:val="25"/>
  </w:num>
  <w:num w:numId="33">
    <w:abstractNumId w:val="13"/>
  </w:num>
  <w:num w:numId="34">
    <w:abstractNumId w:val="38"/>
  </w:num>
  <w:num w:numId="35">
    <w:abstractNumId w:val="37"/>
  </w:num>
  <w:num w:numId="3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11"/>
  </w:num>
  <w:num w:numId="39">
    <w:abstractNumId w:val="35"/>
  </w:num>
  <w:num w:numId="40">
    <w:abstractNumId w:val="32"/>
  </w:num>
  <w:num w:numId="41">
    <w:abstractNumId w:val="36"/>
  </w:num>
  <w:num w:numId="42">
    <w:abstractNumId w:val="30"/>
  </w:num>
  <w:num w:numId="43">
    <w:abstractNumId w:val="42"/>
  </w:num>
  <w:num w:numId="44">
    <w:abstractNumId w:val="23"/>
  </w:num>
  <w:num w:numId="45">
    <w:abstractNumId w:val="18"/>
  </w:num>
  <w:num w:numId="46">
    <w:abstractNumId w:val="24"/>
  </w:num>
  <w:num w:numId="47">
    <w:abstractNumId w:val="39"/>
  </w:num>
  <w:num w:numId="48">
    <w:abstractNumId w:val="29"/>
  </w:num>
  <w:num w:numId="49">
    <w:abstractNumId w:val="39"/>
    <w:lvlOverride w:ilvl="0">
      <w:startOverride w:val="1"/>
    </w:lvlOverride>
  </w:num>
  <w:num w:numId="50">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rawingGridHorizontalSpacing w:val="100"/>
  <w:displayHorizontalDrawingGridEvery w:val="2"/>
  <w:noPunctuationKerning/>
  <w:characterSpacingControl w:val="doNotCompress"/>
  <w:hdrShapeDefaults>
    <o:shapedefaults v:ext="edit" spidmax="18433">
      <o:colormenu v:ext="edit" strokecolor="black"/>
    </o:shapedefaults>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AF6"/>
    <w:rsid w:val="00004A50"/>
    <w:rsid w:val="00004CCD"/>
    <w:rsid w:val="00005030"/>
    <w:rsid w:val="00010C77"/>
    <w:rsid w:val="00010C7B"/>
    <w:rsid w:val="000143B9"/>
    <w:rsid w:val="00016D14"/>
    <w:rsid w:val="00020291"/>
    <w:rsid w:val="000206D7"/>
    <w:rsid w:val="000238FF"/>
    <w:rsid w:val="00034C6F"/>
    <w:rsid w:val="00035EB0"/>
    <w:rsid w:val="00036D9C"/>
    <w:rsid w:val="00037C84"/>
    <w:rsid w:val="00037CF5"/>
    <w:rsid w:val="00040380"/>
    <w:rsid w:val="00040D4A"/>
    <w:rsid w:val="00042B16"/>
    <w:rsid w:val="0004522E"/>
    <w:rsid w:val="0004681B"/>
    <w:rsid w:val="00052410"/>
    <w:rsid w:val="00054C7A"/>
    <w:rsid w:val="00054D1E"/>
    <w:rsid w:val="000608D3"/>
    <w:rsid w:val="0006223A"/>
    <w:rsid w:val="000631D7"/>
    <w:rsid w:val="00063BFD"/>
    <w:rsid w:val="0007043E"/>
    <w:rsid w:val="00073327"/>
    <w:rsid w:val="000768F1"/>
    <w:rsid w:val="00082E3B"/>
    <w:rsid w:val="00083D72"/>
    <w:rsid w:val="000851F5"/>
    <w:rsid w:val="00086CBC"/>
    <w:rsid w:val="00091F4C"/>
    <w:rsid w:val="00094A10"/>
    <w:rsid w:val="00097007"/>
    <w:rsid w:val="00097570"/>
    <w:rsid w:val="00097A6D"/>
    <w:rsid w:val="000A21D7"/>
    <w:rsid w:val="000A487F"/>
    <w:rsid w:val="000B0AD5"/>
    <w:rsid w:val="000B725A"/>
    <w:rsid w:val="000C7239"/>
    <w:rsid w:val="000D0F9B"/>
    <w:rsid w:val="000D2DE9"/>
    <w:rsid w:val="000D7B47"/>
    <w:rsid w:val="000F4E72"/>
    <w:rsid w:val="000F69BF"/>
    <w:rsid w:val="000F768F"/>
    <w:rsid w:val="001030C3"/>
    <w:rsid w:val="00105D4D"/>
    <w:rsid w:val="00105F1B"/>
    <w:rsid w:val="00112753"/>
    <w:rsid w:val="00117024"/>
    <w:rsid w:val="00123852"/>
    <w:rsid w:val="00126AAB"/>
    <w:rsid w:val="00131136"/>
    <w:rsid w:val="0013165B"/>
    <w:rsid w:val="00132F64"/>
    <w:rsid w:val="001379AD"/>
    <w:rsid w:val="001409A8"/>
    <w:rsid w:val="00141D8F"/>
    <w:rsid w:val="0014411B"/>
    <w:rsid w:val="00145189"/>
    <w:rsid w:val="001455D0"/>
    <w:rsid w:val="00145A30"/>
    <w:rsid w:val="00146FEE"/>
    <w:rsid w:val="0014794C"/>
    <w:rsid w:val="001515A4"/>
    <w:rsid w:val="00152EEE"/>
    <w:rsid w:val="00163031"/>
    <w:rsid w:val="0016472D"/>
    <w:rsid w:val="00164F71"/>
    <w:rsid w:val="00166F9A"/>
    <w:rsid w:val="001672D9"/>
    <w:rsid w:val="0017079F"/>
    <w:rsid w:val="001734FF"/>
    <w:rsid w:val="001815E0"/>
    <w:rsid w:val="00182102"/>
    <w:rsid w:val="00192AF8"/>
    <w:rsid w:val="0019367C"/>
    <w:rsid w:val="00194D0C"/>
    <w:rsid w:val="00196ABA"/>
    <w:rsid w:val="001A3138"/>
    <w:rsid w:val="001A4D4A"/>
    <w:rsid w:val="001A596C"/>
    <w:rsid w:val="001B0A8D"/>
    <w:rsid w:val="001B661F"/>
    <w:rsid w:val="001B6BEB"/>
    <w:rsid w:val="001B7CB0"/>
    <w:rsid w:val="001B7E22"/>
    <w:rsid w:val="001C21EA"/>
    <w:rsid w:val="001C31FD"/>
    <w:rsid w:val="001D49AB"/>
    <w:rsid w:val="001E0294"/>
    <w:rsid w:val="001E06B3"/>
    <w:rsid w:val="001E14F2"/>
    <w:rsid w:val="001E3E5B"/>
    <w:rsid w:val="001E5DC0"/>
    <w:rsid w:val="001E670A"/>
    <w:rsid w:val="001E68A9"/>
    <w:rsid w:val="001E7249"/>
    <w:rsid w:val="001F1D83"/>
    <w:rsid w:val="001F7787"/>
    <w:rsid w:val="001F7915"/>
    <w:rsid w:val="00205580"/>
    <w:rsid w:val="00206058"/>
    <w:rsid w:val="00210D2B"/>
    <w:rsid w:val="00212443"/>
    <w:rsid w:val="00213459"/>
    <w:rsid w:val="0021529E"/>
    <w:rsid w:val="002159B9"/>
    <w:rsid w:val="00216905"/>
    <w:rsid w:val="00217EA1"/>
    <w:rsid w:val="002224E9"/>
    <w:rsid w:val="002229BE"/>
    <w:rsid w:val="00224B8B"/>
    <w:rsid w:val="00226B63"/>
    <w:rsid w:val="0023275B"/>
    <w:rsid w:val="0023393D"/>
    <w:rsid w:val="00233FCB"/>
    <w:rsid w:val="00235369"/>
    <w:rsid w:val="002377D7"/>
    <w:rsid w:val="002419B6"/>
    <w:rsid w:val="002442EF"/>
    <w:rsid w:val="00246C60"/>
    <w:rsid w:val="00247B5F"/>
    <w:rsid w:val="0025141C"/>
    <w:rsid w:val="002522D2"/>
    <w:rsid w:val="002544BA"/>
    <w:rsid w:val="00254FCC"/>
    <w:rsid w:val="002567EF"/>
    <w:rsid w:val="002709A2"/>
    <w:rsid w:val="0027351C"/>
    <w:rsid w:val="002741EC"/>
    <w:rsid w:val="0027430E"/>
    <w:rsid w:val="0028187E"/>
    <w:rsid w:val="00283123"/>
    <w:rsid w:val="00285FF3"/>
    <w:rsid w:val="00286856"/>
    <w:rsid w:val="00286BDA"/>
    <w:rsid w:val="002874D8"/>
    <w:rsid w:val="00294229"/>
    <w:rsid w:val="002946E1"/>
    <w:rsid w:val="0029734C"/>
    <w:rsid w:val="002A082A"/>
    <w:rsid w:val="002A79DC"/>
    <w:rsid w:val="002B00BF"/>
    <w:rsid w:val="002B06A0"/>
    <w:rsid w:val="002B4667"/>
    <w:rsid w:val="002B5376"/>
    <w:rsid w:val="002B55E8"/>
    <w:rsid w:val="002B5B6C"/>
    <w:rsid w:val="002B7A5C"/>
    <w:rsid w:val="002C1EDD"/>
    <w:rsid w:val="002C4253"/>
    <w:rsid w:val="002C4F9C"/>
    <w:rsid w:val="002D0145"/>
    <w:rsid w:val="002D32F7"/>
    <w:rsid w:val="002D54C2"/>
    <w:rsid w:val="002E2A88"/>
    <w:rsid w:val="002E4222"/>
    <w:rsid w:val="002E5015"/>
    <w:rsid w:val="002E601C"/>
    <w:rsid w:val="002F0B58"/>
    <w:rsid w:val="002F1181"/>
    <w:rsid w:val="002F1335"/>
    <w:rsid w:val="002F2376"/>
    <w:rsid w:val="002F3178"/>
    <w:rsid w:val="002F784C"/>
    <w:rsid w:val="0030425A"/>
    <w:rsid w:val="00305207"/>
    <w:rsid w:val="00311E3A"/>
    <w:rsid w:val="00313BAF"/>
    <w:rsid w:val="003148AE"/>
    <w:rsid w:val="003151B6"/>
    <w:rsid w:val="00317EFF"/>
    <w:rsid w:val="00322397"/>
    <w:rsid w:val="00332AD9"/>
    <w:rsid w:val="00333B26"/>
    <w:rsid w:val="00333E81"/>
    <w:rsid w:val="00336B41"/>
    <w:rsid w:val="0033747A"/>
    <w:rsid w:val="00341668"/>
    <w:rsid w:val="00346102"/>
    <w:rsid w:val="00350E91"/>
    <w:rsid w:val="00351B3A"/>
    <w:rsid w:val="003537B4"/>
    <w:rsid w:val="00363365"/>
    <w:rsid w:val="003659B8"/>
    <w:rsid w:val="003660B6"/>
    <w:rsid w:val="00366EAD"/>
    <w:rsid w:val="00366F34"/>
    <w:rsid w:val="00375379"/>
    <w:rsid w:val="00381736"/>
    <w:rsid w:val="00381D66"/>
    <w:rsid w:val="00382F05"/>
    <w:rsid w:val="00383E4D"/>
    <w:rsid w:val="003859D2"/>
    <w:rsid w:val="00385EF9"/>
    <w:rsid w:val="003875B6"/>
    <w:rsid w:val="00394A54"/>
    <w:rsid w:val="00396CA3"/>
    <w:rsid w:val="0039717F"/>
    <w:rsid w:val="003A2C56"/>
    <w:rsid w:val="003A46BD"/>
    <w:rsid w:val="003A48A3"/>
    <w:rsid w:val="003A57A6"/>
    <w:rsid w:val="003A7269"/>
    <w:rsid w:val="003A7403"/>
    <w:rsid w:val="003A7C1A"/>
    <w:rsid w:val="003B116B"/>
    <w:rsid w:val="003B2F9C"/>
    <w:rsid w:val="003B4CDC"/>
    <w:rsid w:val="003B560E"/>
    <w:rsid w:val="003B5A3B"/>
    <w:rsid w:val="003B5A4D"/>
    <w:rsid w:val="003C0AE2"/>
    <w:rsid w:val="003C23BA"/>
    <w:rsid w:val="003C51A2"/>
    <w:rsid w:val="003C592E"/>
    <w:rsid w:val="003C63D5"/>
    <w:rsid w:val="003C6881"/>
    <w:rsid w:val="003D1B70"/>
    <w:rsid w:val="003D2794"/>
    <w:rsid w:val="003D5B09"/>
    <w:rsid w:val="003D5FE0"/>
    <w:rsid w:val="003D6792"/>
    <w:rsid w:val="003D7262"/>
    <w:rsid w:val="003E0BA4"/>
    <w:rsid w:val="003E1BA6"/>
    <w:rsid w:val="003E3181"/>
    <w:rsid w:val="003E4654"/>
    <w:rsid w:val="003E66AD"/>
    <w:rsid w:val="003E6DD2"/>
    <w:rsid w:val="003E7CCD"/>
    <w:rsid w:val="003F1D12"/>
    <w:rsid w:val="003F54EE"/>
    <w:rsid w:val="003F73FC"/>
    <w:rsid w:val="00402B3C"/>
    <w:rsid w:val="0040706A"/>
    <w:rsid w:val="00407F46"/>
    <w:rsid w:val="00411605"/>
    <w:rsid w:val="00423EA8"/>
    <w:rsid w:val="004243BE"/>
    <w:rsid w:val="0042561E"/>
    <w:rsid w:val="00427A82"/>
    <w:rsid w:val="004301B5"/>
    <w:rsid w:val="004308B9"/>
    <w:rsid w:val="00430B7B"/>
    <w:rsid w:val="00430DFB"/>
    <w:rsid w:val="0043213D"/>
    <w:rsid w:val="0043315A"/>
    <w:rsid w:val="00433FCA"/>
    <w:rsid w:val="00433FE4"/>
    <w:rsid w:val="00441B7E"/>
    <w:rsid w:val="00441D40"/>
    <w:rsid w:val="004443ED"/>
    <w:rsid w:val="004455EE"/>
    <w:rsid w:val="00446755"/>
    <w:rsid w:val="004508BB"/>
    <w:rsid w:val="00450DCE"/>
    <w:rsid w:val="004525BA"/>
    <w:rsid w:val="00454E85"/>
    <w:rsid w:val="00455A03"/>
    <w:rsid w:val="00456A47"/>
    <w:rsid w:val="00457FA9"/>
    <w:rsid w:val="004604A6"/>
    <w:rsid w:val="00460F68"/>
    <w:rsid w:val="004615A0"/>
    <w:rsid w:val="00463764"/>
    <w:rsid w:val="00467AC9"/>
    <w:rsid w:val="004769BC"/>
    <w:rsid w:val="004775F8"/>
    <w:rsid w:val="00490818"/>
    <w:rsid w:val="00491B00"/>
    <w:rsid w:val="004A0FCE"/>
    <w:rsid w:val="004B0472"/>
    <w:rsid w:val="004B10AF"/>
    <w:rsid w:val="004B1450"/>
    <w:rsid w:val="004B1B65"/>
    <w:rsid w:val="004B1E39"/>
    <w:rsid w:val="004B30F2"/>
    <w:rsid w:val="004B32EB"/>
    <w:rsid w:val="004B5DFC"/>
    <w:rsid w:val="004B625F"/>
    <w:rsid w:val="004C0E81"/>
    <w:rsid w:val="004C14D4"/>
    <w:rsid w:val="004C2319"/>
    <w:rsid w:val="004C6AA0"/>
    <w:rsid w:val="004D23B9"/>
    <w:rsid w:val="004D6D73"/>
    <w:rsid w:val="004D6ED7"/>
    <w:rsid w:val="004E2E00"/>
    <w:rsid w:val="004E6785"/>
    <w:rsid w:val="004F0681"/>
    <w:rsid w:val="004F1926"/>
    <w:rsid w:val="004F33CC"/>
    <w:rsid w:val="004F438A"/>
    <w:rsid w:val="004F6E28"/>
    <w:rsid w:val="004F7A66"/>
    <w:rsid w:val="005008AF"/>
    <w:rsid w:val="00501CE1"/>
    <w:rsid w:val="005026CC"/>
    <w:rsid w:val="00502FFC"/>
    <w:rsid w:val="005037CB"/>
    <w:rsid w:val="00507715"/>
    <w:rsid w:val="00507965"/>
    <w:rsid w:val="00512510"/>
    <w:rsid w:val="00515091"/>
    <w:rsid w:val="00515BB3"/>
    <w:rsid w:val="005212AA"/>
    <w:rsid w:val="0052173E"/>
    <w:rsid w:val="00522306"/>
    <w:rsid w:val="00524F78"/>
    <w:rsid w:val="005274E0"/>
    <w:rsid w:val="005302C6"/>
    <w:rsid w:val="00531027"/>
    <w:rsid w:val="00534A7E"/>
    <w:rsid w:val="00534CA1"/>
    <w:rsid w:val="00534DF4"/>
    <w:rsid w:val="005371AC"/>
    <w:rsid w:val="00537C04"/>
    <w:rsid w:val="00542AB8"/>
    <w:rsid w:val="00543070"/>
    <w:rsid w:val="0054413B"/>
    <w:rsid w:val="0054438A"/>
    <w:rsid w:val="00546D9F"/>
    <w:rsid w:val="005516FA"/>
    <w:rsid w:val="005523DE"/>
    <w:rsid w:val="00555C90"/>
    <w:rsid w:val="0055612E"/>
    <w:rsid w:val="0055701E"/>
    <w:rsid w:val="00557A2A"/>
    <w:rsid w:val="00560321"/>
    <w:rsid w:val="005636D7"/>
    <w:rsid w:val="005639E3"/>
    <w:rsid w:val="00563C69"/>
    <w:rsid w:val="0057020B"/>
    <w:rsid w:val="00570F7E"/>
    <w:rsid w:val="005746E1"/>
    <w:rsid w:val="00574EA8"/>
    <w:rsid w:val="00577ABB"/>
    <w:rsid w:val="0058025B"/>
    <w:rsid w:val="00581D70"/>
    <w:rsid w:val="005822D8"/>
    <w:rsid w:val="00583CBC"/>
    <w:rsid w:val="0058451B"/>
    <w:rsid w:val="00585EAA"/>
    <w:rsid w:val="005939DE"/>
    <w:rsid w:val="00594CEB"/>
    <w:rsid w:val="0059756A"/>
    <w:rsid w:val="005A35BA"/>
    <w:rsid w:val="005A3609"/>
    <w:rsid w:val="005A3962"/>
    <w:rsid w:val="005A4268"/>
    <w:rsid w:val="005A4398"/>
    <w:rsid w:val="005A4F90"/>
    <w:rsid w:val="005A6AF6"/>
    <w:rsid w:val="005B33D3"/>
    <w:rsid w:val="005B3E58"/>
    <w:rsid w:val="005B40DF"/>
    <w:rsid w:val="005B423C"/>
    <w:rsid w:val="005B49F1"/>
    <w:rsid w:val="005C6A32"/>
    <w:rsid w:val="005C7A60"/>
    <w:rsid w:val="005D0BD4"/>
    <w:rsid w:val="005D3DBD"/>
    <w:rsid w:val="005D4320"/>
    <w:rsid w:val="005D43DB"/>
    <w:rsid w:val="005D45D1"/>
    <w:rsid w:val="005E131F"/>
    <w:rsid w:val="005E23C9"/>
    <w:rsid w:val="005E2E2D"/>
    <w:rsid w:val="005E3D33"/>
    <w:rsid w:val="005E4336"/>
    <w:rsid w:val="005E6089"/>
    <w:rsid w:val="005F01AD"/>
    <w:rsid w:val="005F092A"/>
    <w:rsid w:val="005F0DDE"/>
    <w:rsid w:val="005F41B6"/>
    <w:rsid w:val="005F74AA"/>
    <w:rsid w:val="00604D38"/>
    <w:rsid w:val="00607A0C"/>
    <w:rsid w:val="0061104F"/>
    <w:rsid w:val="00616A03"/>
    <w:rsid w:val="00616DCA"/>
    <w:rsid w:val="0062037C"/>
    <w:rsid w:val="00623124"/>
    <w:rsid w:val="0062464E"/>
    <w:rsid w:val="00626006"/>
    <w:rsid w:val="00627DBA"/>
    <w:rsid w:val="006312EA"/>
    <w:rsid w:val="006411DB"/>
    <w:rsid w:val="00642456"/>
    <w:rsid w:val="00647440"/>
    <w:rsid w:val="00653572"/>
    <w:rsid w:val="00653C45"/>
    <w:rsid w:val="00654C3E"/>
    <w:rsid w:val="00665885"/>
    <w:rsid w:val="00670ABC"/>
    <w:rsid w:val="00671B23"/>
    <w:rsid w:val="006737BA"/>
    <w:rsid w:val="00681201"/>
    <w:rsid w:val="0068282A"/>
    <w:rsid w:val="00684B20"/>
    <w:rsid w:val="0068580D"/>
    <w:rsid w:val="0068786F"/>
    <w:rsid w:val="0069213A"/>
    <w:rsid w:val="006952B8"/>
    <w:rsid w:val="00696EAA"/>
    <w:rsid w:val="006974C1"/>
    <w:rsid w:val="006A22A2"/>
    <w:rsid w:val="006A2D8A"/>
    <w:rsid w:val="006A2DAF"/>
    <w:rsid w:val="006A3664"/>
    <w:rsid w:val="006A47DD"/>
    <w:rsid w:val="006A4C24"/>
    <w:rsid w:val="006A5EF6"/>
    <w:rsid w:val="006A64C1"/>
    <w:rsid w:val="006B1267"/>
    <w:rsid w:val="006B24EC"/>
    <w:rsid w:val="006B2755"/>
    <w:rsid w:val="006B4822"/>
    <w:rsid w:val="006C0A9E"/>
    <w:rsid w:val="006C1442"/>
    <w:rsid w:val="006C17BA"/>
    <w:rsid w:val="006C1A36"/>
    <w:rsid w:val="006C54CF"/>
    <w:rsid w:val="006C6AD3"/>
    <w:rsid w:val="006D0398"/>
    <w:rsid w:val="006D05D7"/>
    <w:rsid w:val="006D58C2"/>
    <w:rsid w:val="006E256E"/>
    <w:rsid w:val="006F1FD7"/>
    <w:rsid w:val="006F5BF6"/>
    <w:rsid w:val="006F697D"/>
    <w:rsid w:val="006F7C2D"/>
    <w:rsid w:val="00702019"/>
    <w:rsid w:val="00705A0F"/>
    <w:rsid w:val="00706011"/>
    <w:rsid w:val="00706250"/>
    <w:rsid w:val="007106DC"/>
    <w:rsid w:val="00713857"/>
    <w:rsid w:val="00713929"/>
    <w:rsid w:val="007144CD"/>
    <w:rsid w:val="0072228B"/>
    <w:rsid w:val="00722ED6"/>
    <w:rsid w:val="00726551"/>
    <w:rsid w:val="00727BFB"/>
    <w:rsid w:val="007328FB"/>
    <w:rsid w:val="007365BF"/>
    <w:rsid w:val="007417FE"/>
    <w:rsid w:val="00741DD4"/>
    <w:rsid w:val="007427E1"/>
    <w:rsid w:val="00742831"/>
    <w:rsid w:val="00742A24"/>
    <w:rsid w:val="0074367D"/>
    <w:rsid w:val="00745415"/>
    <w:rsid w:val="00751E0C"/>
    <w:rsid w:val="00752218"/>
    <w:rsid w:val="007542FA"/>
    <w:rsid w:val="00762283"/>
    <w:rsid w:val="00763293"/>
    <w:rsid w:val="007730CD"/>
    <w:rsid w:val="00773297"/>
    <w:rsid w:val="0077784E"/>
    <w:rsid w:val="00780B1A"/>
    <w:rsid w:val="0078642E"/>
    <w:rsid w:val="007870E2"/>
    <w:rsid w:val="007914D0"/>
    <w:rsid w:val="00792147"/>
    <w:rsid w:val="00792CCD"/>
    <w:rsid w:val="00794423"/>
    <w:rsid w:val="00795C89"/>
    <w:rsid w:val="00796476"/>
    <w:rsid w:val="0079671A"/>
    <w:rsid w:val="007A21D7"/>
    <w:rsid w:val="007A5706"/>
    <w:rsid w:val="007A731B"/>
    <w:rsid w:val="007B0C89"/>
    <w:rsid w:val="007B27AF"/>
    <w:rsid w:val="007B3819"/>
    <w:rsid w:val="007B5642"/>
    <w:rsid w:val="007B7313"/>
    <w:rsid w:val="007C0BD4"/>
    <w:rsid w:val="007C1E0F"/>
    <w:rsid w:val="007C40A7"/>
    <w:rsid w:val="007C4B19"/>
    <w:rsid w:val="007C7009"/>
    <w:rsid w:val="007C74C0"/>
    <w:rsid w:val="007C76A0"/>
    <w:rsid w:val="007D1C4A"/>
    <w:rsid w:val="007D245F"/>
    <w:rsid w:val="007D7824"/>
    <w:rsid w:val="007E220C"/>
    <w:rsid w:val="007E3F06"/>
    <w:rsid w:val="007E4033"/>
    <w:rsid w:val="007E7077"/>
    <w:rsid w:val="007F151A"/>
    <w:rsid w:val="007F1BE4"/>
    <w:rsid w:val="007F221D"/>
    <w:rsid w:val="007F6DB9"/>
    <w:rsid w:val="007F7E1A"/>
    <w:rsid w:val="00803467"/>
    <w:rsid w:val="0080545A"/>
    <w:rsid w:val="00805700"/>
    <w:rsid w:val="008063F0"/>
    <w:rsid w:val="008077B7"/>
    <w:rsid w:val="00807E3E"/>
    <w:rsid w:val="00807E7C"/>
    <w:rsid w:val="008109B3"/>
    <w:rsid w:val="00812D3C"/>
    <w:rsid w:val="008138D2"/>
    <w:rsid w:val="00815ECA"/>
    <w:rsid w:val="008200B8"/>
    <w:rsid w:val="008202C1"/>
    <w:rsid w:val="00820461"/>
    <w:rsid w:val="00822743"/>
    <w:rsid w:val="00831FFF"/>
    <w:rsid w:val="00833F3F"/>
    <w:rsid w:val="00835815"/>
    <w:rsid w:val="00835EBB"/>
    <w:rsid w:val="00836C60"/>
    <w:rsid w:val="00840349"/>
    <w:rsid w:val="00844CFE"/>
    <w:rsid w:val="00845125"/>
    <w:rsid w:val="00847588"/>
    <w:rsid w:val="008476EA"/>
    <w:rsid w:val="00856940"/>
    <w:rsid w:val="00857E75"/>
    <w:rsid w:val="00857F89"/>
    <w:rsid w:val="0086023E"/>
    <w:rsid w:val="00862823"/>
    <w:rsid w:val="00864F90"/>
    <w:rsid w:val="00873108"/>
    <w:rsid w:val="008743EA"/>
    <w:rsid w:val="00875DB6"/>
    <w:rsid w:val="00876220"/>
    <w:rsid w:val="008835B0"/>
    <w:rsid w:val="00884559"/>
    <w:rsid w:val="008853EF"/>
    <w:rsid w:val="00885447"/>
    <w:rsid w:val="00886F86"/>
    <w:rsid w:val="0089242C"/>
    <w:rsid w:val="00896A80"/>
    <w:rsid w:val="008A12F9"/>
    <w:rsid w:val="008A17BA"/>
    <w:rsid w:val="008A1922"/>
    <w:rsid w:val="008A5629"/>
    <w:rsid w:val="008A7835"/>
    <w:rsid w:val="008B0F30"/>
    <w:rsid w:val="008B1462"/>
    <w:rsid w:val="008B1616"/>
    <w:rsid w:val="008B1B40"/>
    <w:rsid w:val="008B5BE2"/>
    <w:rsid w:val="008C1BCA"/>
    <w:rsid w:val="008C6008"/>
    <w:rsid w:val="008C647C"/>
    <w:rsid w:val="008C6DB0"/>
    <w:rsid w:val="008C7002"/>
    <w:rsid w:val="008D17DA"/>
    <w:rsid w:val="008D3F1D"/>
    <w:rsid w:val="008D493C"/>
    <w:rsid w:val="008D6487"/>
    <w:rsid w:val="008E4715"/>
    <w:rsid w:val="008F05A4"/>
    <w:rsid w:val="008F416D"/>
    <w:rsid w:val="008F6473"/>
    <w:rsid w:val="008F686A"/>
    <w:rsid w:val="009004F6"/>
    <w:rsid w:val="009009F8"/>
    <w:rsid w:val="009025CA"/>
    <w:rsid w:val="009053CF"/>
    <w:rsid w:val="00910718"/>
    <w:rsid w:val="009113AC"/>
    <w:rsid w:val="00913288"/>
    <w:rsid w:val="0092003D"/>
    <w:rsid w:val="00920FF9"/>
    <w:rsid w:val="00924F01"/>
    <w:rsid w:val="00925042"/>
    <w:rsid w:val="009252F8"/>
    <w:rsid w:val="00931FFF"/>
    <w:rsid w:val="009341BB"/>
    <w:rsid w:val="00935C30"/>
    <w:rsid w:val="00935EAB"/>
    <w:rsid w:val="00940900"/>
    <w:rsid w:val="00940E93"/>
    <w:rsid w:val="00946937"/>
    <w:rsid w:val="00950F54"/>
    <w:rsid w:val="00954F33"/>
    <w:rsid w:val="00955DB1"/>
    <w:rsid w:val="00957645"/>
    <w:rsid w:val="00960011"/>
    <w:rsid w:val="00962318"/>
    <w:rsid w:val="0097011F"/>
    <w:rsid w:val="00976A82"/>
    <w:rsid w:val="00977358"/>
    <w:rsid w:val="00977BC0"/>
    <w:rsid w:val="00980F72"/>
    <w:rsid w:val="00985C6F"/>
    <w:rsid w:val="009866FF"/>
    <w:rsid w:val="00991675"/>
    <w:rsid w:val="00992743"/>
    <w:rsid w:val="00992824"/>
    <w:rsid w:val="00997899"/>
    <w:rsid w:val="00997BC2"/>
    <w:rsid w:val="009A008F"/>
    <w:rsid w:val="009A0D44"/>
    <w:rsid w:val="009B1C17"/>
    <w:rsid w:val="009B2A3B"/>
    <w:rsid w:val="009B4132"/>
    <w:rsid w:val="009B4433"/>
    <w:rsid w:val="009B4CCF"/>
    <w:rsid w:val="009C4534"/>
    <w:rsid w:val="009C4D0C"/>
    <w:rsid w:val="009C57EC"/>
    <w:rsid w:val="009C722B"/>
    <w:rsid w:val="009D0A2B"/>
    <w:rsid w:val="009D26F9"/>
    <w:rsid w:val="009D31C6"/>
    <w:rsid w:val="009D4572"/>
    <w:rsid w:val="009D74AC"/>
    <w:rsid w:val="009E7524"/>
    <w:rsid w:val="009F16A8"/>
    <w:rsid w:val="009F2D37"/>
    <w:rsid w:val="009F39D1"/>
    <w:rsid w:val="009F4E99"/>
    <w:rsid w:val="009F5C4A"/>
    <w:rsid w:val="00A040D4"/>
    <w:rsid w:val="00A07A88"/>
    <w:rsid w:val="00A116AC"/>
    <w:rsid w:val="00A120FE"/>
    <w:rsid w:val="00A131D0"/>
    <w:rsid w:val="00A1354D"/>
    <w:rsid w:val="00A13E9F"/>
    <w:rsid w:val="00A16FCA"/>
    <w:rsid w:val="00A20390"/>
    <w:rsid w:val="00A21179"/>
    <w:rsid w:val="00A21640"/>
    <w:rsid w:val="00A218FD"/>
    <w:rsid w:val="00A24B29"/>
    <w:rsid w:val="00A2599A"/>
    <w:rsid w:val="00A277D7"/>
    <w:rsid w:val="00A33A97"/>
    <w:rsid w:val="00A37D2E"/>
    <w:rsid w:val="00A402C7"/>
    <w:rsid w:val="00A407A0"/>
    <w:rsid w:val="00A4363E"/>
    <w:rsid w:val="00A44570"/>
    <w:rsid w:val="00A46A6F"/>
    <w:rsid w:val="00A47738"/>
    <w:rsid w:val="00A47BCF"/>
    <w:rsid w:val="00A52446"/>
    <w:rsid w:val="00A53473"/>
    <w:rsid w:val="00A57320"/>
    <w:rsid w:val="00A64758"/>
    <w:rsid w:val="00A663E9"/>
    <w:rsid w:val="00A70281"/>
    <w:rsid w:val="00A730EA"/>
    <w:rsid w:val="00A73946"/>
    <w:rsid w:val="00A75D05"/>
    <w:rsid w:val="00A77102"/>
    <w:rsid w:val="00A827DC"/>
    <w:rsid w:val="00A83932"/>
    <w:rsid w:val="00A84929"/>
    <w:rsid w:val="00A87C7A"/>
    <w:rsid w:val="00A90BC8"/>
    <w:rsid w:val="00A93CE6"/>
    <w:rsid w:val="00A97D1B"/>
    <w:rsid w:val="00AA01C2"/>
    <w:rsid w:val="00AA34BA"/>
    <w:rsid w:val="00AA54BE"/>
    <w:rsid w:val="00AA6482"/>
    <w:rsid w:val="00AB2E41"/>
    <w:rsid w:val="00AB5C8C"/>
    <w:rsid w:val="00AB6629"/>
    <w:rsid w:val="00AC212F"/>
    <w:rsid w:val="00AC2D89"/>
    <w:rsid w:val="00AD27D0"/>
    <w:rsid w:val="00AD399F"/>
    <w:rsid w:val="00AD4EDE"/>
    <w:rsid w:val="00AD5182"/>
    <w:rsid w:val="00AD5667"/>
    <w:rsid w:val="00AD7FEB"/>
    <w:rsid w:val="00AE3C0D"/>
    <w:rsid w:val="00AE6D25"/>
    <w:rsid w:val="00AE7F6D"/>
    <w:rsid w:val="00AF141B"/>
    <w:rsid w:val="00AF4904"/>
    <w:rsid w:val="00B03B55"/>
    <w:rsid w:val="00B069B4"/>
    <w:rsid w:val="00B0768E"/>
    <w:rsid w:val="00B107B8"/>
    <w:rsid w:val="00B11595"/>
    <w:rsid w:val="00B12B84"/>
    <w:rsid w:val="00B14C9A"/>
    <w:rsid w:val="00B16B39"/>
    <w:rsid w:val="00B16DEF"/>
    <w:rsid w:val="00B17357"/>
    <w:rsid w:val="00B24C21"/>
    <w:rsid w:val="00B34FD3"/>
    <w:rsid w:val="00B375FF"/>
    <w:rsid w:val="00B409E8"/>
    <w:rsid w:val="00B41BD1"/>
    <w:rsid w:val="00B423E7"/>
    <w:rsid w:val="00B45E75"/>
    <w:rsid w:val="00B51873"/>
    <w:rsid w:val="00B52093"/>
    <w:rsid w:val="00B520EA"/>
    <w:rsid w:val="00B52ED7"/>
    <w:rsid w:val="00B53B18"/>
    <w:rsid w:val="00B571B4"/>
    <w:rsid w:val="00B6221B"/>
    <w:rsid w:val="00B63098"/>
    <w:rsid w:val="00B64EF9"/>
    <w:rsid w:val="00B65A5D"/>
    <w:rsid w:val="00B65F21"/>
    <w:rsid w:val="00B72C71"/>
    <w:rsid w:val="00B74B52"/>
    <w:rsid w:val="00B77B3C"/>
    <w:rsid w:val="00B8136B"/>
    <w:rsid w:val="00B84991"/>
    <w:rsid w:val="00B86CA6"/>
    <w:rsid w:val="00B87F32"/>
    <w:rsid w:val="00B90435"/>
    <w:rsid w:val="00B91F0C"/>
    <w:rsid w:val="00B935A2"/>
    <w:rsid w:val="00BA11BA"/>
    <w:rsid w:val="00BA1DD3"/>
    <w:rsid w:val="00BA3C41"/>
    <w:rsid w:val="00BA47C8"/>
    <w:rsid w:val="00BB1C2E"/>
    <w:rsid w:val="00BB3610"/>
    <w:rsid w:val="00BB3F80"/>
    <w:rsid w:val="00BB4EC6"/>
    <w:rsid w:val="00BC3507"/>
    <w:rsid w:val="00BC3590"/>
    <w:rsid w:val="00BC5392"/>
    <w:rsid w:val="00BC58F1"/>
    <w:rsid w:val="00BC6CE6"/>
    <w:rsid w:val="00BD488C"/>
    <w:rsid w:val="00BD4B00"/>
    <w:rsid w:val="00BD4E39"/>
    <w:rsid w:val="00BD77CB"/>
    <w:rsid w:val="00BD7C32"/>
    <w:rsid w:val="00BE6588"/>
    <w:rsid w:val="00BE72FF"/>
    <w:rsid w:val="00BE73C2"/>
    <w:rsid w:val="00BF51BE"/>
    <w:rsid w:val="00BF7770"/>
    <w:rsid w:val="00C0014D"/>
    <w:rsid w:val="00C0519F"/>
    <w:rsid w:val="00C07172"/>
    <w:rsid w:val="00C12EA2"/>
    <w:rsid w:val="00C13967"/>
    <w:rsid w:val="00C2017F"/>
    <w:rsid w:val="00C21A99"/>
    <w:rsid w:val="00C35874"/>
    <w:rsid w:val="00C35BD7"/>
    <w:rsid w:val="00C41493"/>
    <w:rsid w:val="00C44873"/>
    <w:rsid w:val="00C469AF"/>
    <w:rsid w:val="00C46D9C"/>
    <w:rsid w:val="00C50BD2"/>
    <w:rsid w:val="00C52A4F"/>
    <w:rsid w:val="00C54066"/>
    <w:rsid w:val="00C575E4"/>
    <w:rsid w:val="00C60EFB"/>
    <w:rsid w:val="00C60FBC"/>
    <w:rsid w:val="00C63184"/>
    <w:rsid w:val="00C63368"/>
    <w:rsid w:val="00C6461B"/>
    <w:rsid w:val="00C64AD8"/>
    <w:rsid w:val="00C67F5D"/>
    <w:rsid w:val="00C7205B"/>
    <w:rsid w:val="00C7370E"/>
    <w:rsid w:val="00C74C05"/>
    <w:rsid w:val="00C81856"/>
    <w:rsid w:val="00C85919"/>
    <w:rsid w:val="00C87189"/>
    <w:rsid w:val="00C9346D"/>
    <w:rsid w:val="00CA3A76"/>
    <w:rsid w:val="00CA3CF9"/>
    <w:rsid w:val="00CA40E7"/>
    <w:rsid w:val="00CA465D"/>
    <w:rsid w:val="00CA6BF3"/>
    <w:rsid w:val="00CA6D05"/>
    <w:rsid w:val="00CB0C59"/>
    <w:rsid w:val="00CB44B1"/>
    <w:rsid w:val="00CC12CB"/>
    <w:rsid w:val="00CC1FFA"/>
    <w:rsid w:val="00CC638B"/>
    <w:rsid w:val="00CC6CB4"/>
    <w:rsid w:val="00CD2EB0"/>
    <w:rsid w:val="00CD7681"/>
    <w:rsid w:val="00CE0D98"/>
    <w:rsid w:val="00CE256F"/>
    <w:rsid w:val="00CE2F4B"/>
    <w:rsid w:val="00CE3600"/>
    <w:rsid w:val="00CE4423"/>
    <w:rsid w:val="00CF16F1"/>
    <w:rsid w:val="00CF36A9"/>
    <w:rsid w:val="00D00E3D"/>
    <w:rsid w:val="00D02551"/>
    <w:rsid w:val="00D02EB5"/>
    <w:rsid w:val="00D048D8"/>
    <w:rsid w:val="00D05843"/>
    <w:rsid w:val="00D05C1A"/>
    <w:rsid w:val="00D145D5"/>
    <w:rsid w:val="00D1460D"/>
    <w:rsid w:val="00D16AED"/>
    <w:rsid w:val="00D16C5A"/>
    <w:rsid w:val="00D17869"/>
    <w:rsid w:val="00D24E41"/>
    <w:rsid w:val="00D250CB"/>
    <w:rsid w:val="00D26BA8"/>
    <w:rsid w:val="00D270DE"/>
    <w:rsid w:val="00D35979"/>
    <w:rsid w:val="00D37078"/>
    <w:rsid w:val="00D410DC"/>
    <w:rsid w:val="00D42771"/>
    <w:rsid w:val="00D43C11"/>
    <w:rsid w:val="00D44640"/>
    <w:rsid w:val="00D51248"/>
    <w:rsid w:val="00D523A7"/>
    <w:rsid w:val="00D52B0C"/>
    <w:rsid w:val="00D55649"/>
    <w:rsid w:val="00D55781"/>
    <w:rsid w:val="00D56144"/>
    <w:rsid w:val="00D568C4"/>
    <w:rsid w:val="00D6082B"/>
    <w:rsid w:val="00D60C44"/>
    <w:rsid w:val="00D63371"/>
    <w:rsid w:val="00D63E08"/>
    <w:rsid w:val="00D6532B"/>
    <w:rsid w:val="00D65369"/>
    <w:rsid w:val="00D705EC"/>
    <w:rsid w:val="00D71FD4"/>
    <w:rsid w:val="00D729FD"/>
    <w:rsid w:val="00D73D17"/>
    <w:rsid w:val="00D75390"/>
    <w:rsid w:val="00D76F0D"/>
    <w:rsid w:val="00D807A9"/>
    <w:rsid w:val="00D82DE2"/>
    <w:rsid w:val="00D863BC"/>
    <w:rsid w:val="00D8779B"/>
    <w:rsid w:val="00D90892"/>
    <w:rsid w:val="00D91ED5"/>
    <w:rsid w:val="00D927A9"/>
    <w:rsid w:val="00DA0DBB"/>
    <w:rsid w:val="00DA2211"/>
    <w:rsid w:val="00DA68E3"/>
    <w:rsid w:val="00DA7492"/>
    <w:rsid w:val="00DB04FE"/>
    <w:rsid w:val="00DB2F6E"/>
    <w:rsid w:val="00DB68A9"/>
    <w:rsid w:val="00DC4AFA"/>
    <w:rsid w:val="00DC63F8"/>
    <w:rsid w:val="00DC72D1"/>
    <w:rsid w:val="00DC7AB6"/>
    <w:rsid w:val="00DD7592"/>
    <w:rsid w:val="00DE29E8"/>
    <w:rsid w:val="00DE2C2C"/>
    <w:rsid w:val="00DF0E0E"/>
    <w:rsid w:val="00DF213A"/>
    <w:rsid w:val="00DF50DF"/>
    <w:rsid w:val="00E01BE9"/>
    <w:rsid w:val="00E04767"/>
    <w:rsid w:val="00E05249"/>
    <w:rsid w:val="00E0604A"/>
    <w:rsid w:val="00E06BA7"/>
    <w:rsid w:val="00E10F4E"/>
    <w:rsid w:val="00E1240A"/>
    <w:rsid w:val="00E17513"/>
    <w:rsid w:val="00E179EB"/>
    <w:rsid w:val="00E17BF3"/>
    <w:rsid w:val="00E22921"/>
    <w:rsid w:val="00E25814"/>
    <w:rsid w:val="00E326D6"/>
    <w:rsid w:val="00E32832"/>
    <w:rsid w:val="00E3763C"/>
    <w:rsid w:val="00E41AD7"/>
    <w:rsid w:val="00E4582D"/>
    <w:rsid w:val="00E552D9"/>
    <w:rsid w:val="00E6032C"/>
    <w:rsid w:val="00E606E0"/>
    <w:rsid w:val="00E607B0"/>
    <w:rsid w:val="00E63B47"/>
    <w:rsid w:val="00E659D3"/>
    <w:rsid w:val="00E755B1"/>
    <w:rsid w:val="00E76225"/>
    <w:rsid w:val="00E82838"/>
    <w:rsid w:val="00E8454D"/>
    <w:rsid w:val="00E85006"/>
    <w:rsid w:val="00E9043F"/>
    <w:rsid w:val="00E9785C"/>
    <w:rsid w:val="00EA2843"/>
    <w:rsid w:val="00EA284F"/>
    <w:rsid w:val="00EA32BF"/>
    <w:rsid w:val="00EB31BA"/>
    <w:rsid w:val="00EC1D88"/>
    <w:rsid w:val="00EC5D6C"/>
    <w:rsid w:val="00EC605B"/>
    <w:rsid w:val="00EC71BA"/>
    <w:rsid w:val="00EC7D88"/>
    <w:rsid w:val="00ED1BC1"/>
    <w:rsid w:val="00ED3FB9"/>
    <w:rsid w:val="00ED778D"/>
    <w:rsid w:val="00EE02D7"/>
    <w:rsid w:val="00EE10CF"/>
    <w:rsid w:val="00EE54DE"/>
    <w:rsid w:val="00EF0828"/>
    <w:rsid w:val="00EF55A5"/>
    <w:rsid w:val="00EF7821"/>
    <w:rsid w:val="00EF78E2"/>
    <w:rsid w:val="00F00F9B"/>
    <w:rsid w:val="00F0160E"/>
    <w:rsid w:val="00F0177D"/>
    <w:rsid w:val="00F01E11"/>
    <w:rsid w:val="00F02678"/>
    <w:rsid w:val="00F02DAF"/>
    <w:rsid w:val="00F03BBE"/>
    <w:rsid w:val="00F073F2"/>
    <w:rsid w:val="00F2178F"/>
    <w:rsid w:val="00F21E4E"/>
    <w:rsid w:val="00F2329D"/>
    <w:rsid w:val="00F25A1F"/>
    <w:rsid w:val="00F2669B"/>
    <w:rsid w:val="00F30EB6"/>
    <w:rsid w:val="00F3135C"/>
    <w:rsid w:val="00F3408C"/>
    <w:rsid w:val="00F420F8"/>
    <w:rsid w:val="00F42A9A"/>
    <w:rsid w:val="00F42CB6"/>
    <w:rsid w:val="00F500CF"/>
    <w:rsid w:val="00F5101F"/>
    <w:rsid w:val="00F51045"/>
    <w:rsid w:val="00F52399"/>
    <w:rsid w:val="00F52659"/>
    <w:rsid w:val="00F558EB"/>
    <w:rsid w:val="00F576CC"/>
    <w:rsid w:val="00F625FA"/>
    <w:rsid w:val="00F627B5"/>
    <w:rsid w:val="00F65430"/>
    <w:rsid w:val="00F7411E"/>
    <w:rsid w:val="00F75D62"/>
    <w:rsid w:val="00F7632D"/>
    <w:rsid w:val="00F83A50"/>
    <w:rsid w:val="00F83A8E"/>
    <w:rsid w:val="00F84C4E"/>
    <w:rsid w:val="00F860B6"/>
    <w:rsid w:val="00F86DDA"/>
    <w:rsid w:val="00F906A0"/>
    <w:rsid w:val="00F907A6"/>
    <w:rsid w:val="00F90DC2"/>
    <w:rsid w:val="00F96C50"/>
    <w:rsid w:val="00FA411F"/>
    <w:rsid w:val="00FA6577"/>
    <w:rsid w:val="00FB05C2"/>
    <w:rsid w:val="00FB2DDB"/>
    <w:rsid w:val="00FC189F"/>
    <w:rsid w:val="00FC3334"/>
    <w:rsid w:val="00FC3660"/>
    <w:rsid w:val="00FC46FF"/>
    <w:rsid w:val="00FC5CBF"/>
    <w:rsid w:val="00FC65E9"/>
    <w:rsid w:val="00FD05ED"/>
    <w:rsid w:val="00FD06DF"/>
    <w:rsid w:val="00FD6FB6"/>
    <w:rsid w:val="00FD75C9"/>
    <w:rsid w:val="00FE0A2A"/>
    <w:rsid w:val="00FE5286"/>
    <w:rsid w:val="00FE596D"/>
    <w:rsid w:val="00FE6900"/>
    <w:rsid w:val="00FE7EC9"/>
    <w:rsid w:val="00FF0245"/>
    <w:rsid w:val="00FF18DE"/>
    <w:rsid w:val="00FF21B6"/>
    <w:rsid w:val="00FF476A"/>
    <w:rsid w:val="00FF4D79"/>
    <w:rsid w:val="00FF6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8433">
      <o:colormenu v:ext="edit" strokecolor="black"/>
    </o:shapedefaults>
    <o:shapelayout v:ext="edit">
      <o:idmap v:ext="edit" data="1"/>
      <o:regrouptable v:ext="edit">
        <o:entry new="1" old="0"/>
        <o:entry new="2" old="0"/>
        <o:entry new="3" old="0"/>
        <o:entry new="4" old="0"/>
      </o:regrouptable>
    </o:shapelayout>
  </w:shapeDefaults>
  <w:decimalSymbol w:val="."/>
  <w:listSeparator w:val=","/>
  <w15:docId w15:val="{42BF43A0-8BFA-4CA8-BF22-DFA79A19F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709A2"/>
    <w:rPr>
      <w:rFonts w:ascii="Arial" w:hAnsi="Arial"/>
      <w:szCs w:val="24"/>
    </w:rPr>
  </w:style>
  <w:style w:type="paragraph" w:styleId="Heading1">
    <w:name w:val="heading 1"/>
    <w:basedOn w:val="Normal"/>
    <w:next w:val="Normal"/>
    <w:qFormat/>
    <w:rsid w:val="002709A2"/>
    <w:pPr>
      <w:keepNext/>
      <w:pBdr>
        <w:top w:val="single" w:sz="18" w:space="1" w:color="auto"/>
        <w:bottom w:val="single" w:sz="18" w:space="1" w:color="auto"/>
      </w:pBdr>
      <w:spacing w:after="120"/>
      <w:outlineLvl w:val="0"/>
    </w:pPr>
    <w:rPr>
      <w:b/>
      <w:sz w:val="28"/>
      <w:szCs w:val="28"/>
    </w:rPr>
  </w:style>
  <w:style w:type="paragraph" w:styleId="Heading2">
    <w:name w:val="heading 2"/>
    <w:basedOn w:val="Normal"/>
    <w:next w:val="Normal"/>
    <w:qFormat/>
    <w:rsid w:val="00B64EF9"/>
    <w:pPr>
      <w:keepNext/>
      <w:pBdr>
        <w:top w:val="single" w:sz="18" w:space="1" w:color="auto"/>
      </w:pBdr>
      <w:spacing w:before="120"/>
      <w:outlineLvl w:val="1"/>
    </w:pPr>
    <w:rPr>
      <w:rFonts w:cs="Arial"/>
      <w:b/>
      <w:bCs/>
      <w:sz w:val="22"/>
    </w:rPr>
  </w:style>
  <w:style w:type="paragraph" w:styleId="Heading3">
    <w:name w:val="heading 3"/>
    <w:basedOn w:val="Normal"/>
    <w:next w:val="Normal"/>
    <w:link w:val="Heading3Char"/>
    <w:qFormat/>
    <w:rsid w:val="00C575E4"/>
    <w:pPr>
      <w:keepNext/>
      <w:spacing w:before="120" w:after="80"/>
      <w:outlineLvl w:val="2"/>
    </w:pPr>
    <w:rPr>
      <w:rFonts w:cs="Arial"/>
      <w:b/>
      <w:i/>
      <w:sz w:val="22"/>
    </w:rPr>
  </w:style>
  <w:style w:type="paragraph" w:styleId="Heading4">
    <w:name w:val="heading 4"/>
    <w:basedOn w:val="Normal"/>
    <w:next w:val="Normal"/>
    <w:qFormat/>
    <w:rsid w:val="007106DC"/>
    <w:pPr>
      <w:keepNext/>
      <w:spacing w:before="120" w:after="120"/>
      <w:outlineLvl w:val="3"/>
    </w:pPr>
    <w:rPr>
      <w:rFonts w:cs="Arial"/>
      <w:i/>
      <w:iCs/>
      <w:szCs w:val="20"/>
      <w:u w:val="single"/>
    </w:rPr>
  </w:style>
  <w:style w:type="paragraph" w:styleId="Heading5">
    <w:name w:val="heading 5"/>
    <w:basedOn w:val="Normal"/>
    <w:next w:val="Normal"/>
    <w:qFormat/>
    <w:rsid w:val="00C6461B"/>
    <w:pPr>
      <w:keepNext/>
      <w:outlineLvl w:val="4"/>
    </w:pPr>
    <w:rPr>
      <w:i/>
      <w:iCs/>
      <w:color w:val="800000"/>
    </w:rPr>
  </w:style>
  <w:style w:type="paragraph" w:styleId="Heading6">
    <w:name w:val="heading 6"/>
    <w:basedOn w:val="Normal"/>
    <w:next w:val="Normal"/>
    <w:qFormat/>
    <w:rsid w:val="00C6461B"/>
    <w:pPr>
      <w:keepNext/>
      <w:ind w:left="720"/>
      <w:outlineLvl w:val="5"/>
    </w:pPr>
    <w:rPr>
      <w:color w:val="800000"/>
      <w:u w:val="single"/>
    </w:rPr>
  </w:style>
  <w:style w:type="paragraph" w:styleId="Heading7">
    <w:name w:val="heading 7"/>
    <w:basedOn w:val="Normal"/>
    <w:next w:val="Normal"/>
    <w:qFormat/>
    <w:rsid w:val="00C6461B"/>
    <w:pPr>
      <w:keepNext/>
      <w:outlineLvl w:val="6"/>
    </w:pPr>
    <w:rPr>
      <w:u w:val="single"/>
    </w:rPr>
  </w:style>
  <w:style w:type="paragraph" w:styleId="Heading8">
    <w:name w:val="heading 8"/>
    <w:basedOn w:val="Normal"/>
    <w:next w:val="Normal"/>
    <w:qFormat/>
    <w:rsid w:val="00C6461B"/>
    <w:pPr>
      <w:keepNext/>
      <w:outlineLvl w:val="7"/>
    </w:pPr>
    <w:rPr>
      <w:rFonts w:cs="Arial"/>
      <w:b/>
      <w:bCs/>
    </w:rPr>
  </w:style>
  <w:style w:type="paragraph" w:styleId="Heading9">
    <w:name w:val="heading 9"/>
    <w:basedOn w:val="Normal"/>
    <w:next w:val="Normal"/>
    <w:qFormat/>
    <w:rsid w:val="00A46A6F"/>
    <w:pPr>
      <w:keepNext/>
      <w:numPr>
        <w:numId w:val="47"/>
      </w:numPr>
      <w:outlineLvl w:val="8"/>
    </w:pPr>
    <w:rPr>
      <w:rFonts w:cs="Arial"/>
      <w:b/>
      <w:bCs/>
      <w:color w:val="FFFFFF"/>
      <w:sz w:val="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autoRedefine/>
    <w:semiHidden/>
    <w:rsid w:val="00A24B29"/>
    <w:pPr>
      <w:spacing w:before="120"/>
      <w:jc w:val="center"/>
    </w:pPr>
    <w:rPr>
      <w:rFonts w:cs="Arial"/>
      <w:szCs w:val="20"/>
    </w:rPr>
  </w:style>
  <w:style w:type="paragraph" w:styleId="Header">
    <w:name w:val="header"/>
    <w:basedOn w:val="Normal"/>
    <w:link w:val="HeaderChar"/>
    <w:uiPriority w:val="99"/>
    <w:rsid w:val="003D5B09"/>
    <w:pPr>
      <w:tabs>
        <w:tab w:val="center" w:pos="4320"/>
        <w:tab w:val="right" w:pos="8640"/>
      </w:tabs>
    </w:pPr>
    <w:rPr>
      <w:sz w:val="18"/>
    </w:rPr>
  </w:style>
  <w:style w:type="character" w:customStyle="1" w:styleId="HeaderChar">
    <w:name w:val="Header Char"/>
    <w:basedOn w:val="DefaultParagraphFont"/>
    <w:link w:val="Header"/>
    <w:uiPriority w:val="99"/>
    <w:rsid w:val="003D5B09"/>
    <w:rPr>
      <w:rFonts w:ascii="Arial" w:hAnsi="Arial"/>
      <w:sz w:val="18"/>
      <w:szCs w:val="24"/>
      <w:lang w:val="en-US" w:eastAsia="en-US" w:bidi="ar-SA"/>
    </w:rPr>
  </w:style>
  <w:style w:type="paragraph" w:styleId="Footer">
    <w:name w:val="footer"/>
    <w:basedOn w:val="Normal"/>
    <w:link w:val="FooterChar"/>
    <w:uiPriority w:val="99"/>
    <w:rsid w:val="005A3609"/>
    <w:pPr>
      <w:jc w:val="center"/>
    </w:pPr>
    <w:rPr>
      <w:rFonts w:cs="Arial"/>
      <w:szCs w:val="20"/>
    </w:rPr>
  </w:style>
  <w:style w:type="character" w:customStyle="1" w:styleId="FooterChar">
    <w:name w:val="Footer Char"/>
    <w:basedOn w:val="DefaultParagraphFont"/>
    <w:link w:val="Footer"/>
    <w:uiPriority w:val="99"/>
    <w:rsid w:val="005A3609"/>
    <w:rPr>
      <w:rFonts w:ascii="Arial" w:hAnsi="Arial" w:cs="Arial"/>
      <w:lang w:val="en-US" w:eastAsia="en-US" w:bidi="ar-SA"/>
    </w:rPr>
  </w:style>
  <w:style w:type="character" w:styleId="PageNumber">
    <w:name w:val="page number"/>
    <w:basedOn w:val="DefaultParagraphFont"/>
    <w:rsid w:val="00C6461B"/>
  </w:style>
  <w:style w:type="paragraph" w:customStyle="1" w:styleId="Norma">
    <w:name w:val="Norma"/>
    <w:basedOn w:val="Normal"/>
    <w:link w:val="NormaChar"/>
    <w:rsid w:val="0023393D"/>
    <w:rPr>
      <w:rFonts w:cs="Arial"/>
    </w:rPr>
  </w:style>
  <w:style w:type="character" w:customStyle="1" w:styleId="bulletChar">
    <w:name w:val="bullet Char"/>
    <w:basedOn w:val="DefaultParagraphFont"/>
    <w:link w:val="bullet"/>
    <w:rsid w:val="00FA6577"/>
    <w:rPr>
      <w:rFonts w:ascii="Arial" w:hAnsi="Arial" w:cs="Arial"/>
      <w:lang w:val="en-US" w:eastAsia="en-US" w:bidi="ar-SA"/>
    </w:rPr>
  </w:style>
  <w:style w:type="paragraph" w:styleId="BodyText">
    <w:name w:val="Body Text"/>
    <w:basedOn w:val="Norma"/>
    <w:link w:val="BodyTextChar"/>
    <w:rsid w:val="002874D8"/>
    <w:pPr>
      <w:spacing w:before="120" w:after="120"/>
    </w:pPr>
  </w:style>
  <w:style w:type="character" w:customStyle="1" w:styleId="TitleChar">
    <w:name w:val="Title Char"/>
    <w:basedOn w:val="DefaultParagraphFont"/>
    <w:link w:val="Title"/>
    <w:rsid w:val="004C6AA0"/>
    <w:rPr>
      <w:rFonts w:ascii="Arial" w:hAnsi="Arial"/>
      <w:b/>
      <w:sz w:val="36"/>
      <w:szCs w:val="24"/>
      <w:lang w:val="en-US" w:eastAsia="en-US" w:bidi="ar-SA"/>
    </w:rPr>
  </w:style>
  <w:style w:type="paragraph" w:styleId="Title">
    <w:name w:val="Title"/>
    <w:basedOn w:val="Normal"/>
    <w:link w:val="TitleChar"/>
    <w:qFormat/>
    <w:rsid w:val="004C6AA0"/>
    <w:pPr>
      <w:spacing w:before="120" w:after="120"/>
      <w:jc w:val="center"/>
    </w:pPr>
    <w:rPr>
      <w:b/>
      <w:sz w:val="36"/>
    </w:rPr>
  </w:style>
  <w:style w:type="paragraph" w:styleId="Index2">
    <w:name w:val="index 2"/>
    <w:basedOn w:val="Normal"/>
    <w:next w:val="Normal"/>
    <w:autoRedefine/>
    <w:semiHidden/>
    <w:rsid w:val="00C6461B"/>
    <w:pPr>
      <w:ind w:left="480" w:hanging="240"/>
    </w:pPr>
  </w:style>
  <w:style w:type="paragraph" w:styleId="Index3">
    <w:name w:val="index 3"/>
    <w:basedOn w:val="Normal"/>
    <w:next w:val="Normal"/>
    <w:autoRedefine/>
    <w:semiHidden/>
    <w:rsid w:val="00C6461B"/>
    <w:pPr>
      <w:ind w:left="720" w:hanging="240"/>
    </w:pPr>
  </w:style>
  <w:style w:type="paragraph" w:styleId="Index4">
    <w:name w:val="index 4"/>
    <w:basedOn w:val="Normal"/>
    <w:next w:val="Normal"/>
    <w:autoRedefine/>
    <w:semiHidden/>
    <w:rsid w:val="00C6461B"/>
    <w:pPr>
      <w:ind w:left="960" w:hanging="240"/>
    </w:pPr>
  </w:style>
  <w:style w:type="paragraph" w:styleId="Index5">
    <w:name w:val="index 5"/>
    <w:basedOn w:val="Normal"/>
    <w:next w:val="Normal"/>
    <w:autoRedefine/>
    <w:semiHidden/>
    <w:rsid w:val="00C6461B"/>
    <w:pPr>
      <w:ind w:left="1200" w:hanging="240"/>
    </w:pPr>
  </w:style>
  <w:style w:type="paragraph" w:styleId="Index6">
    <w:name w:val="index 6"/>
    <w:basedOn w:val="Normal"/>
    <w:next w:val="Normal"/>
    <w:autoRedefine/>
    <w:semiHidden/>
    <w:rsid w:val="00C6461B"/>
    <w:pPr>
      <w:ind w:left="1440" w:hanging="240"/>
    </w:pPr>
  </w:style>
  <w:style w:type="paragraph" w:styleId="Index7">
    <w:name w:val="index 7"/>
    <w:basedOn w:val="Normal"/>
    <w:next w:val="Normal"/>
    <w:autoRedefine/>
    <w:semiHidden/>
    <w:rsid w:val="00C6461B"/>
    <w:pPr>
      <w:ind w:left="1680" w:hanging="240"/>
    </w:pPr>
  </w:style>
  <w:style w:type="paragraph" w:styleId="Index8">
    <w:name w:val="index 8"/>
    <w:basedOn w:val="Normal"/>
    <w:next w:val="Normal"/>
    <w:autoRedefine/>
    <w:semiHidden/>
    <w:rsid w:val="00C6461B"/>
    <w:pPr>
      <w:ind w:left="1920" w:hanging="240"/>
    </w:pPr>
  </w:style>
  <w:style w:type="paragraph" w:styleId="Index9">
    <w:name w:val="index 9"/>
    <w:basedOn w:val="Normal"/>
    <w:next w:val="Normal"/>
    <w:autoRedefine/>
    <w:semiHidden/>
    <w:rsid w:val="00C6461B"/>
    <w:pPr>
      <w:ind w:left="2160" w:hanging="240"/>
    </w:pPr>
  </w:style>
  <w:style w:type="paragraph" w:styleId="IndexHeading">
    <w:name w:val="index heading"/>
    <w:basedOn w:val="Normal"/>
    <w:next w:val="Index1"/>
    <w:semiHidden/>
    <w:rsid w:val="00C6461B"/>
  </w:style>
  <w:style w:type="character" w:styleId="Hyperlink">
    <w:name w:val="Hyperlink"/>
    <w:basedOn w:val="DefaultParagraphFont"/>
    <w:uiPriority w:val="99"/>
    <w:rsid w:val="00FA6577"/>
    <w:rPr>
      <w:color w:val="0000FF"/>
      <w:sz w:val="20"/>
      <w:u w:val="single"/>
    </w:rPr>
  </w:style>
  <w:style w:type="character" w:styleId="FollowedHyperlink">
    <w:name w:val="FollowedHyperlink"/>
    <w:basedOn w:val="DefaultParagraphFont"/>
    <w:uiPriority w:val="99"/>
    <w:rsid w:val="00C6461B"/>
    <w:rPr>
      <w:color w:val="800080"/>
      <w:u w:val="single"/>
    </w:rPr>
  </w:style>
  <w:style w:type="paragraph" w:customStyle="1" w:styleId="tabletext">
    <w:name w:val="table text"/>
    <w:rsid w:val="0058451B"/>
    <w:pPr>
      <w:framePr w:hSpace="180" w:wrap="around" w:vAnchor="text" w:hAnchor="margin" w:xAlign="right" w:y="144"/>
      <w:suppressOverlap/>
    </w:pPr>
    <w:rPr>
      <w:rFonts w:ascii="Arial" w:hAnsi="Arial" w:cs="Arial"/>
      <w:bCs/>
      <w:sz w:val="18"/>
    </w:rPr>
  </w:style>
  <w:style w:type="paragraph" w:styleId="BalloonText">
    <w:name w:val="Balloon Text"/>
    <w:basedOn w:val="Normal"/>
    <w:link w:val="BalloonTextChar"/>
    <w:uiPriority w:val="99"/>
    <w:semiHidden/>
    <w:rsid w:val="00C6461B"/>
    <w:rPr>
      <w:rFonts w:ascii="Tahoma" w:hAnsi="Tahoma" w:cs="Tahoma"/>
      <w:sz w:val="16"/>
      <w:szCs w:val="16"/>
    </w:rPr>
  </w:style>
  <w:style w:type="paragraph" w:styleId="CommentText">
    <w:name w:val="annotation text"/>
    <w:basedOn w:val="Normal"/>
    <w:link w:val="CommentTextChar"/>
    <w:uiPriority w:val="99"/>
    <w:semiHidden/>
    <w:rsid w:val="00C6461B"/>
    <w:rPr>
      <w:rFonts w:ascii="Verdana" w:hAnsi="Verdana"/>
      <w:sz w:val="18"/>
      <w:szCs w:val="20"/>
    </w:rPr>
  </w:style>
  <w:style w:type="paragraph" w:styleId="CommentSubject">
    <w:name w:val="annotation subject"/>
    <w:basedOn w:val="CommentText"/>
    <w:next w:val="CommentText"/>
    <w:link w:val="CommentSubjectChar"/>
    <w:uiPriority w:val="99"/>
    <w:semiHidden/>
    <w:rsid w:val="00C6461B"/>
    <w:rPr>
      <w:b/>
      <w:bCs/>
    </w:rPr>
  </w:style>
  <w:style w:type="paragraph" w:styleId="BodyTextIndent">
    <w:name w:val="Body Text Indent"/>
    <w:basedOn w:val="Normal"/>
    <w:rsid w:val="000F69BF"/>
    <w:pPr>
      <w:spacing w:before="120" w:after="120"/>
      <w:ind w:left="288" w:right="288"/>
    </w:pPr>
    <w:rPr>
      <w:rFonts w:cs="Arial"/>
      <w:szCs w:val="20"/>
    </w:rPr>
  </w:style>
  <w:style w:type="paragraph" w:styleId="ListParagraph">
    <w:name w:val="List Paragraph"/>
    <w:basedOn w:val="Normal"/>
    <w:uiPriority w:val="34"/>
    <w:qFormat/>
    <w:rsid w:val="006737BA"/>
    <w:pPr>
      <w:ind w:left="720"/>
      <w:contextualSpacing/>
    </w:pPr>
    <w:rPr>
      <w:rFonts w:eastAsia="Calibri"/>
      <w:lang w:bidi="en-US"/>
    </w:rPr>
  </w:style>
  <w:style w:type="paragraph" w:styleId="NormalWeb">
    <w:name w:val="Normal (Web)"/>
    <w:basedOn w:val="Normal"/>
    <w:uiPriority w:val="99"/>
    <w:rsid w:val="00C6461B"/>
    <w:pPr>
      <w:spacing w:before="100" w:beforeAutospacing="1" w:after="100" w:afterAutospacing="1"/>
    </w:pPr>
  </w:style>
  <w:style w:type="paragraph" w:customStyle="1" w:styleId="whs1">
    <w:name w:val="whs1"/>
    <w:basedOn w:val="Normal"/>
    <w:rsid w:val="00C6461B"/>
    <w:pPr>
      <w:spacing w:before="100" w:beforeAutospacing="1" w:after="100" w:afterAutospacing="1"/>
    </w:pPr>
  </w:style>
  <w:style w:type="paragraph" w:styleId="Caption">
    <w:name w:val="caption"/>
    <w:basedOn w:val="Normal"/>
    <w:next w:val="Normal"/>
    <w:qFormat/>
    <w:rsid w:val="00A827DC"/>
    <w:pPr>
      <w:spacing w:before="120"/>
    </w:pPr>
    <w:rPr>
      <w:b/>
      <w:szCs w:val="28"/>
    </w:rPr>
  </w:style>
  <w:style w:type="character" w:styleId="CommentReference">
    <w:name w:val="annotation reference"/>
    <w:basedOn w:val="DefaultParagraphFont"/>
    <w:uiPriority w:val="99"/>
    <w:semiHidden/>
    <w:rsid w:val="00C6461B"/>
    <w:rPr>
      <w:sz w:val="16"/>
      <w:szCs w:val="16"/>
    </w:rPr>
  </w:style>
  <w:style w:type="paragraph" w:styleId="TOC1">
    <w:name w:val="toc 1"/>
    <w:basedOn w:val="Normal"/>
    <w:next w:val="Normal"/>
    <w:autoRedefine/>
    <w:uiPriority w:val="39"/>
    <w:rsid w:val="00C0014D"/>
    <w:pPr>
      <w:tabs>
        <w:tab w:val="right" w:leader="dot" w:pos="9360"/>
      </w:tabs>
      <w:spacing w:before="120"/>
      <w:ind w:right="540"/>
    </w:pPr>
    <w:rPr>
      <w:rFonts w:cs="Arial"/>
      <w:b/>
      <w:noProof/>
      <w:szCs w:val="20"/>
    </w:rPr>
  </w:style>
  <w:style w:type="paragraph" w:styleId="TOC2">
    <w:name w:val="toc 2"/>
    <w:basedOn w:val="Normal"/>
    <w:next w:val="Normal"/>
    <w:autoRedefine/>
    <w:uiPriority w:val="39"/>
    <w:rsid w:val="00627DBA"/>
    <w:pPr>
      <w:tabs>
        <w:tab w:val="right" w:leader="dot" w:pos="9360"/>
      </w:tabs>
      <w:ind w:left="180"/>
    </w:pPr>
    <w:rPr>
      <w:rFonts w:cs="Arial"/>
      <w:noProof/>
      <w:szCs w:val="44"/>
    </w:rPr>
  </w:style>
  <w:style w:type="paragraph" w:styleId="TOC3">
    <w:name w:val="toc 3"/>
    <w:basedOn w:val="Normal"/>
    <w:next w:val="Normal"/>
    <w:autoRedefine/>
    <w:uiPriority w:val="39"/>
    <w:rsid w:val="00805700"/>
    <w:pPr>
      <w:tabs>
        <w:tab w:val="right" w:leader="dot" w:pos="9360"/>
      </w:tabs>
      <w:ind w:firstLine="180"/>
    </w:pPr>
    <w:rPr>
      <w:noProof/>
    </w:rPr>
  </w:style>
  <w:style w:type="paragraph" w:styleId="TOC4">
    <w:name w:val="toc 4"/>
    <w:basedOn w:val="Normal"/>
    <w:next w:val="Normal"/>
    <w:autoRedefine/>
    <w:uiPriority w:val="39"/>
    <w:rsid w:val="00C6461B"/>
    <w:pPr>
      <w:ind w:left="720"/>
    </w:pPr>
  </w:style>
  <w:style w:type="paragraph" w:styleId="TOC5">
    <w:name w:val="toc 5"/>
    <w:basedOn w:val="Normal"/>
    <w:next w:val="Normal"/>
    <w:autoRedefine/>
    <w:uiPriority w:val="39"/>
    <w:rsid w:val="00C6461B"/>
    <w:pPr>
      <w:ind w:left="960"/>
    </w:pPr>
  </w:style>
  <w:style w:type="paragraph" w:styleId="TOC6">
    <w:name w:val="toc 6"/>
    <w:basedOn w:val="Normal"/>
    <w:next w:val="Normal"/>
    <w:autoRedefine/>
    <w:uiPriority w:val="39"/>
    <w:rsid w:val="00C6461B"/>
    <w:pPr>
      <w:ind w:left="1200"/>
    </w:pPr>
  </w:style>
  <w:style w:type="paragraph" w:styleId="TOC7">
    <w:name w:val="toc 7"/>
    <w:basedOn w:val="Normal"/>
    <w:next w:val="Normal"/>
    <w:autoRedefine/>
    <w:uiPriority w:val="39"/>
    <w:rsid w:val="00C6461B"/>
    <w:pPr>
      <w:ind w:left="1440"/>
    </w:pPr>
  </w:style>
  <w:style w:type="paragraph" w:styleId="TOC8">
    <w:name w:val="toc 8"/>
    <w:basedOn w:val="Normal"/>
    <w:next w:val="Normal"/>
    <w:autoRedefine/>
    <w:uiPriority w:val="39"/>
    <w:rsid w:val="00C6461B"/>
    <w:pPr>
      <w:ind w:left="1680"/>
    </w:pPr>
  </w:style>
  <w:style w:type="paragraph" w:styleId="TOC9">
    <w:name w:val="toc 9"/>
    <w:basedOn w:val="Normal"/>
    <w:next w:val="Normal"/>
    <w:autoRedefine/>
    <w:uiPriority w:val="39"/>
    <w:rsid w:val="00C6461B"/>
    <w:pPr>
      <w:ind w:left="1920"/>
    </w:pPr>
  </w:style>
  <w:style w:type="paragraph" w:customStyle="1" w:styleId="definition">
    <w:name w:val="definition"/>
    <w:basedOn w:val="Normal"/>
    <w:rsid w:val="00741DD4"/>
    <w:pPr>
      <w:spacing w:before="100" w:beforeAutospacing="1" w:after="100" w:afterAutospacing="1"/>
    </w:pPr>
    <w:rPr>
      <w:rFonts w:ascii="Times New Roman" w:hAnsi="Times New Roman"/>
      <w:sz w:val="24"/>
    </w:rPr>
  </w:style>
  <w:style w:type="paragraph" w:customStyle="1" w:styleId="toc">
    <w:name w:val="toc"/>
    <w:basedOn w:val="Normal"/>
    <w:rsid w:val="00C6461B"/>
  </w:style>
  <w:style w:type="paragraph" w:customStyle="1" w:styleId="BodyText0">
    <w:name w:val="Body_Text"/>
    <w:basedOn w:val="Normal"/>
    <w:rsid w:val="00C6461B"/>
    <w:pPr>
      <w:spacing w:before="120" w:after="120"/>
    </w:pPr>
  </w:style>
  <w:style w:type="table" w:styleId="TableGrid">
    <w:name w:val="Table Grid"/>
    <w:basedOn w:val="TableNormal"/>
    <w:uiPriority w:val="59"/>
    <w:rsid w:val="006C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B32EB"/>
    <w:pPr>
      <w:shd w:val="clear" w:color="auto" w:fill="000080"/>
    </w:pPr>
    <w:rPr>
      <w:rFonts w:ascii="Tahoma" w:hAnsi="Tahoma" w:cs="Tahoma"/>
      <w:szCs w:val="20"/>
    </w:rPr>
  </w:style>
  <w:style w:type="paragraph" w:customStyle="1" w:styleId="Heading1A">
    <w:name w:val="Heading 1A"/>
    <w:basedOn w:val="Heading1"/>
    <w:rsid w:val="00F65430"/>
    <w:pPr>
      <w:pBdr>
        <w:top w:val="none" w:sz="0" w:space="0" w:color="auto"/>
        <w:bottom w:val="none" w:sz="0" w:space="0" w:color="auto"/>
      </w:pBdr>
      <w:spacing w:before="240" w:after="240"/>
      <w:jc w:val="center"/>
    </w:pPr>
    <w:rPr>
      <w:rFonts w:cs="Arial"/>
      <w:b w:val="0"/>
    </w:rPr>
  </w:style>
  <w:style w:type="character" w:customStyle="1" w:styleId="NormaChar">
    <w:name w:val="Norma Char"/>
    <w:basedOn w:val="DefaultParagraphFont"/>
    <w:link w:val="Norma"/>
    <w:rsid w:val="00EC605B"/>
    <w:rPr>
      <w:rFonts w:ascii="Arial" w:hAnsi="Arial" w:cs="Arial"/>
      <w:szCs w:val="24"/>
      <w:lang w:val="en-US" w:eastAsia="en-US" w:bidi="ar-SA"/>
    </w:rPr>
  </w:style>
  <w:style w:type="character" w:styleId="FootnoteReference">
    <w:name w:val="footnote reference"/>
    <w:basedOn w:val="DefaultParagraphFont"/>
    <w:uiPriority w:val="99"/>
    <w:semiHidden/>
    <w:unhideWhenUsed/>
    <w:rsid w:val="00B86CA6"/>
    <w:rPr>
      <w:vertAlign w:val="superscript"/>
    </w:rPr>
  </w:style>
  <w:style w:type="paragraph" w:customStyle="1" w:styleId="bullet">
    <w:name w:val="bullet"/>
    <w:basedOn w:val="Normal"/>
    <w:link w:val="bulletChar"/>
    <w:rsid w:val="00FA6577"/>
    <w:pPr>
      <w:numPr>
        <w:numId w:val="3"/>
      </w:numPr>
      <w:tabs>
        <w:tab w:val="clear" w:pos="360"/>
        <w:tab w:val="num" w:pos="270"/>
      </w:tabs>
      <w:spacing w:after="120"/>
      <w:ind w:left="273" w:hanging="187"/>
    </w:pPr>
    <w:rPr>
      <w:rFonts w:cs="Arial"/>
      <w:szCs w:val="20"/>
    </w:rPr>
  </w:style>
  <w:style w:type="paragraph" w:customStyle="1" w:styleId="numberedlist">
    <w:name w:val="numbered list"/>
    <w:basedOn w:val="Normal"/>
    <w:rsid w:val="0025141C"/>
    <w:pPr>
      <w:numPr>
        <w:numId w:val="8"/>
      </w:numPr>
      <w:tabs>
        <w:tab w:val="clear" w:pos="360"/>
        <w:tab w:val="num" w:pos="270"/>
      </w:tabs>
      <w:spacing w:after="120"/>
      <w:ind w:left="274" w:hanging="274"/>
    </w:pPr>
    <w:rPr>
      <w:rFonts w:cs="Arial"/>
      <w:szCs w:val="20"/>
    </w:rPr>
  </w:style>
  <w:style w:type="character" w:customStyle="1" w:styleId="italic">
    <w:name w:val="italic"/>
    <w:basedOn w:val="DefaultParagraphFont"/>
    <w:rsid w:val="00FA6577"/>
    <w:rPr>
      <w:i/>
    </w:rPr>
  </w:style>
  <w:style w:type="character" w:customStyle="1" w:styleId="Bold">
    <w:name w:val="Bold"/>
    <w:basedOn w:val="DefaultParagraphFont"/>
    <w:rsid w:val="00FA6577"/>
    <w:rPr>
      <w:b/>
    </w:rPr>
  </w:style>
  <w:style w:type="character" w:customStyle="1" w:styleId="BodyTextChar">
    <w:name w:val="Body Text Char"/>
    <w:basedOn w:val="NormaChar"/>
    <w:link w:val="BodyText"/>
    <w:rsid w:val="002874D8"/>
    <w:rPr>
      <w:rFonts w:ascii="Arial" w:hAnsi="Arial" w:cs="Arial"/>
      <w:szCs w:val="24"/>
      <w:lang w:val="en-US" w:eastAsia="en-US" w:bidi="ar-SA"/>
    </w:rPr>
  </w:style>
  <w:style w:type="paragraph" w:styleId="TOAHeading">
    <w:name w:val="toa heading"/>
    <w:basedOn w:val="Normal"/>
    <w:next w:val="Normal"/>
    <w:rsid w:val="00D17869"/>
    <w:pPr>
      <w:spacing w:before="120"/>
      <w:jc w:val="center"/>
    </w:pPr>
    <w:rPr>
      <w:rFonts w:cs="Arial"/>
      <w:b/>
      <w:bCs/>
      <w:sz w:val="24"/>
    </w:rPr>
  </w:style>
  <w:style w:type="paragraph" w:customStyle="1" w:styleId="BoxText">
    <w:name w:val="Box Text"/>
    <w:basedOn w:val="Norma"/>
    <w:rsid w:val="00B64EF9"/>
    <w:rPr>
      <w:sz w:val="18"/>
      <w:szCs w:val="20"/>
    </w:rPr>
  </w:style>
  <w:style w:type="paragraph" w:customStyle="1" w:styleId="BoxTitle">
    <w:name w:val="Box Title"/>
    <w:basedOn w:val="Normal"/>
    <w:rsid w:val="00B64EF9"/>
    <w:pPr>
      <w:spacing w:after="120"/>
      <w:jc w:val="center"/>
    </w:pPr>
    <w:rPr>
      <w:rFonts w:cs="Arial"/>
      <w:b/>
      <w:bCs/>
      <w:szCs w:val="20"/>
      <w:u w:val="single"/>
    </w:rPr>
  </w:style>
  <w:style w:type="paragraph" w:customStyle="1" w:styleId="Reference">
    <w:name w:val="Reference"/>
    <w:basedOn w:val="BodyTextIndent"/>
    <w:rsid w:val="00FA411F"/>
    <w:pPr>
      <w:ind w:hanging="360"/>
    </w:pPr>
    <w:rPr>
      <w:color w:val="000000"/>
    </w:rPr>
  </w:style>
  <w:style w:type="character" w:customStyle="1" w:styleId="Heading3Char">
    <w:name w:val="Heading 3 Char"/>
    <w:basedOn w:val="DefaultParagraphFont"/>
    <w:link w:val="Heading3"/>
    <w:rsid w:val="004D23B9"/>
    <w:rPr>
      <w:rFonts w:ascii="Arial" w:hAnsi="Arial" w:cs="Arial"/>
      <w:b/>
      <w:i/>
      <w:sz w:val="22"/>
      <w:szCs w:val="24"/>
      <w:lang w:val="en-US" w:eastAsia="en-US" w:bidi="ar-SA"/>
    </w:rPr>
  </w:style>
  <w:style w:type="paragraph" w:styleId="FootnoteText">
    <w:name w:val="footnote text"/>
    <w:basedOn w:val="Normal"/>
    <w:link w:val="FootnoteTextChar"/>
    <w:uiPriority w:val="99"/>
    <w:rsid w:val="004D23B9"/>
    <w:pPr>
      <w:ind w:left="180" w:hanging="180"/>
    </w:pPr>
    <w:rPr>
      <w:sz w:val="18"/>
      <w:szCs w:val="20"/>
    </w:rPr>
  </w:style>
  <w:style w:type="character" w:customStyle="1" w:styleId="FootnoteTextChar">
    <w:name w:val="Footnote Text Char"/>
    <w:basedOn w:val="DefaultParagraphFont"/>
    <w:link w:val="FootnoteText"/>
    <w:uiPriority w:val="99"/>
    <w:rsid w:val="00884559"/>
    <w:rPr>
      <w:rFonts w:ascii="Arial" w:hAnsi="Arial"/>
      <w:sz w:val="18"/>
    </w:rPr>
  </w:style>
  <w:style w:type="character" w:customStyle="1" w:styleId="apple-style-span">
    <w:name w:val="apple-style-span"/>
    <w:basedOn w:val="DefaultParagraphFont"/>
    <w:rsid w:val="00884559"/>
  </w:style>
  <w:style w:type="character" w:customStyle="1" w:styleId="apple-converted-space">
    <w:name w:val="apple-converted-space"/>
    <w:basedOn w:val="DefaultParagraphFont"/>
    <w:rsid w:val="00884559"/>
  </w:style>
  <w:style w:type="character" w:styleId="Emphasis">
    <w:name w:val="Emphasis"/>
    <w:basedOn w:val="DefaultParagraphFont"/>
    <w:uiPriority w:val="20"/>
    <w:qFormat/>
    <w:rsid w:val="00884559"/>
    <w:rPr>
      <w:i/>
      <w:iCs/>
    </w:rPr>
  </w:style>
  <w:style w:type="paragraph" w:styleId="EndnoteText">
    <w:name w:val="endnote text"/>
    <w:basedOn w:val="Normal"/>
    <w:link w:val="EndnoteTextChar"/>
    <w:uiPriority w:val="99"/>
    <w:unhideWhenUsed/>
    <w:rsid w:val="00884559"/>
    <w:rPr>
      <w:rFonts w:ascii="Calibri" w:eastAsia="Calibri" w:hAnsi="Calibri"/>
      <w:szCs w:val="20"/>
    </w:rPr>
  </w:style>
  <w:style w:type="character" w:customStyle="1" w:styleId="EndnoteTextChar">
    <w:name w:val="Endnote Text Char"/>
    <w:basedOn w:val="DefaultParagraphFont"/>
    <w:link w:val="EndnoteText"/>
    <w:uiPriority w:val="99"/>
    <w:rsid w:val="00884559"/>
    <w:rPr>
      <w:rFonts w:ascii="Calibri" w:eastAsia="Calibri" w:hAnsi="Calibri" w:cs="Times New Roman"/>
    </w:rPr>
  </w:style>
  <w:style w:type="character" w:styleId="EndnoteReference">
    <w:name w:val="endnote reference"/>
    <w:basedOn w:val="DefaultParagraphFont"/>
    <w:uiPriority w:val="99"/>
    <w:semiHidden/>
    <w:unhideWhenUsed/>
    <w:rsid w:val="00884559"/>
    <w:rPr>
      <w:vertAlign w:val="superscript"/>
    </w:rPr>
  </w:style>
  <w:style w:type="character" w:styleId="BookTitle">
    <w:name w:val="Book Title"/>
    <w:basedOn w:val="DefaultParagraphFont"/>
    <w:uiPriority w:val="33"/>
    <w:qFormat/>
    <w:rsid w:val="00884559"/>
    <w:rPr>
      <w:b/>
      <w:bCs/>
      <w:smallCaps/>
      <w:spacing w:val="5"/>
    </w:rPr>
  </w:style>
  <w:style w:type="character" w:styleId="IntenseReference">
    <w:name w:val="Intense Reference"/>
    <w:basedOn w:val="DefaultParagraphFont"/>
    <w:uiPriority w:val="32"/>
    <w:qFormat/>
    <w:rsid w:val="00884559"/>
    <w:rPr>
      <w:b/>
      <w:bCs/>
      <w:smallCaps/>
      <w:color w:val="C0504D"/>
      <w:spacing w:val="5"/>
      <w:u w:val="single"/>
    </w:rPr>
  </w:style>
  <w:style w:type="character" w:customStyle="1" w:styleId="BalloonTextChar">
    <w:name w:val="Balloon Text Char"/>
    <w:basedOn w:val="DefaultParagraphFont"/>
    <w:link w:val="BalloonText"/>
    <w:uiPriority w:val="99"/>
    <w:semiHidden/>
    <w:rsid w:val="00CB44B1"/>
    <w:rPr>
      <w:rFonts w:ascii="Tahoma" w:hAnsi="Tahoma" w:cs="Tahoma"/>
      <w:sz w:val="16"/>
      <w:szCs w:val="16"/>
    </w:rPr>
  </w:style>
  <w:style w:type="character" w:customStyle="1" w:styleId="CommentTextChar">
    <w:name w:val="Comment Text Char"/>
    <w:basedOn w:val="DefaultParagraphFont"/>
    <w:link w:val="CommentText"/>
    <w:uiPriority w:val="99"/>
    <w:semiHidden/>
    <w:rsid w:val="00CB44B1"/>
    <w:rPr>
      <w:rFonts w:ascii="Verdana" w:hAnsi="Verdana"/>
      <w:sz w:val="18"/>
    </w:rPr>
  </w:style>
  <w:style w:type="character" w:customStyle="1" w:styleId="CommentSubjectChar">
    <w:name w:val="Comment Subject Char"/>
    <w:basedOn w:val="CommentTextChar"/>
    <w:link w:val="CommentSubject"/>
    <w:uiPriority w:val="99"/>
    <w:semiHidden/>
    <w:rsid w:val="00CB44B1"/>
    <w:rPr>
      <w:rFonts w:ascii="Verdana" w:hAnsi="Verdana"/>
      <w:b/>
      <w:bCs/>
      <w:sz w:val="18"/>
    </w:rPr>
  </w:style>
  <w:style w:type="paragraph" w:customStyle="1" w:styleId="AppendixDHeading">
    <w:name w:val="Appendix D Heading"/>
    <w:basedOn w:val="Normal"/>
    <w:qFormat/>
    <w:rsid w:val="00E607B0"/>
    <w:pPr>
      <w:keepNext/>
      <w:spacing w:before="240" w:after="120"/>
    </w:pPr>
    <w:rPr>
      <w:rFonts w:ascii="Times New Roman" w:hAnsi="Times New Roman"/>
      <w:b/>
      <w:sz w:val="24"/>
    </w:rPr>
  </w:style>
  <w:style w:type="paragraph" w:customStyle="1" w:styleId="bulletsmall">
    <w:name w:val="bullet small"/>
    <w:basedOn w:val="Normal"/>
    <w:rsid w:val="001A4D4A"/>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853840">
      <w:bodyDiv w:val="1"/>
      <w:marLeft w:val="0"/>
      <w:marRight w:val="0"/>
      <w:marTop w:val="0"/>
      <w:marBottom w:val="0"/>
      <w:divBdr>
        <w:top w:val="none" w:sz="0" w:space="0" w:color="auto"/>
        <w:left w:val="none" w:sz="0" w:space="0" w:color="auto"/>
        <w:bottom w:val="none" w:sz="0" w:space="0" w:color="auto"/>
        <w:right w:val="none" w:sz="0" w:space="0" w:color="auto"/>
      </w:divBdr>
    </w:div>
    <w:div w:id="989209226">
      <w:bodyDiv w:val="1"/>
      <w:marLeft w:val="0"/>
      <w:marRight w:val="0"/>
      <w:marTop w:val="0"/>
      <w:marBottom w:val="0"/>
      <w:divBdr>
        <w:top w:val="none" w:sz="0" w:space="0" w:color="auto"/>
        <w:left w:val="none" w:sz="0" w:space="0" w:color="auto"/>
        <w:bottom w:val="none" w:sz="0" w:space="0" w:color="auto"/>
        <w:right w:val="none" w:sz="0" w:space="0" w:color="auto"/>
      </w:divBdr>
      <w:divsChild>
        <w:div w:id="71314770">
          <w:marLeft w:val="1166"/>
          <w:marRight w:val="0"/>
          <w:marTop w:val="134"/>
          <w:marBottom w:val="0"/>
          <w:divBdr>
            <w:top w:val="none" w:sz="0" w:space="0" w:color="auto"/>
            <w:left w:val="none" w:sz="0" w:space="0" w:color="auto"/>
            <w:bottom w:val="none" w:sz="0" w:space="0" w:color="auto"/>
            <w:right w:val="none" w:sz="0" w:space="0" w:color="auto"/>
          </w:divBdr>
        </w:div>
        <w:div w:id="82802533">
          <w:marLeft w:val="1166"/>
          <w:marRight w:val="0"/>
          <w:marTop w:val="134"/>
          <w:marBottom w:val="0"/>
          <w:divBdr>
            <w:top w:val="none" w:sz="0" w:space="0" w:color="auto"/>
            <w:left w:val="none" w:sz="0" w:space="0" w:color="auto"/>
            <w:bottom w:val="none" w:sz="0" w:space="0" w:color="auto"/>
            <w:right w:val="none" w:sz="0" w:space="0" w:color="auto"/>
          </w:divBdr>
        </w:div>
        <w:div w:id="286816932">
          <w:marLeft w:val="1166"/>
          <w:marRight w:val="0"/>
          <w:marTop w:val="134"/>
          <w:marBottom w:val="0"/>
          <w:divBdr>
            <w:top w:val="none" w:sz="0" w:space="0" w:color="auto"/>
            <w:left w:val="none" w:sz="0" w:space="0" w:color="auto"/>
            <w:bottom w:val="none" w:sz="0" w:space="0" w:color="auto"/>
            <w:right w:val="none" w:sz="0" w:space="0" w:color="auto"/>
          </w:divBdr>
        </w:div>
        <w:div w:id="353193153">
          <w:marLeft w:val="547"/>
          <w:marRight w:val="0"/>
          <w:marTop w:val="154"/>
          <w:marBottom w:val="0"/>
          <w:divBdr>
            <w:top w:val="none" w:sz="0" w:space="0" w:color="auto"/>
            <w:left w:val="none" w:sz="0" w:space="0" w:color="auto"/>
            <w:bottom w:val="none" w:sz="0" w:space="0" w:color="auto"/>
            <w:right w:val="none" w:sz="0" w:space="0" w:color="auto"/>
          </w:divBdr>
        </w:div>
        <w:div w:id="542061169">
          <w:marLeft w:val="1166"/>
          <w:marRight w:val="0"/>
          <w:marTop w:val="134"/>
          <w:marBottom w:val="0"/>
          <w:divBdr>
            <w:top w:val="none" w:sz="0" w:space="0" w:color="auto"/>
            <w:left w:val="none" w:sz="0" w:space="0" w:color="auto"/>
            <w:bottom w:val="none" w:sz="0" w:space="0" w:color="auto"/>
            <w:right w:val="none" w:sz="0" w:space="0" w:color="auto"/>
          </w:divBdr>
        </w:div>
        <w:div w:id="935013889">
          <w:marLeft w:val="1166"/>
          <w:marRight w:val="0"/>
          <w:marTop w:val="134"/>
          <w:marBottom w:val="0"/>
          <w:divBdr>
            <w:top w:val="none" w:sz="0" w:space="0" w:color="auto"/>
            <w:left w:val="none" w:sz="0" w:space="0" w:color="auto"/>
            <w:bottom w:val="none" w:sz="0" w:space="0" w:color="auto"/>
            <w:right w:val="none" w:sz="0" w:space="0" w:color="auto"/>
          </w:divBdr>
        </w:div>
      </w:divsChild>
    </w:div>
    <w:div w:id="1209806499">
      <w:bodyDiv w:val="1"/>
      <w:marLeft w:val="0"/>
      <w:marRight w:val="0"/>
      <w:marTop w:val="0"/>
      <w:marBottom w:val="0"/>
      <w:divBdr>
        <w:top w:val="none" w:sz="0" w:space="0" w:color="auto"/>
        <w:left w:val="none" w:sz="0" w:space="0" w:color="auto"/>
        <w:bottom w:val="none" w:sz="0" w:space="0" w:color="auto"/>
        <w:right w:val="none" w:sz="0" w:space="0" w:color="auto"/>
      </w:divBdr>
      <w:divsChild>
        <w:div w:id="290525466">
          <w:marLeft w:val="547"/>
          <w:marRight w:val="0"/>
          <w:marTop w:val="115"/>
          <w:marBottom w:val="0"/>
          <w:divBdr>
            <w:top w:val="none" w:sz="0" w:space="0" w:color="auto"/>
            <w:left w:val="none" w:sz="0" w:space="0" w:color="auto"/>
            <w:bottom w:val="none" w:sz="0" w:space="0" w:color="auto"/>
            <w:right w:val="none" w:sz="0" w:space="0" w:color="auto"/>
          </w:divBdr>
        </w:div>
        <w:div w:id="294024222">
          <w:marLeft w:val="547"/>
          <w:marRight w:val="0"/>
          <w:marTop w:val="115"/>
          <w:marBottom w:val="0"/>
          <w:divBdr>
            <w:top w:val="none" w:sz="0" w:space="0" w:color="auto"/>
            <w:left w:val="none" w:sz="0" w:space="0" w:color="auto"/>
            <w:bottom w:val="none" w:sz="0" w:space="0" w:color="auto"/>
            <w:right w:val="none" w:sz="0" w:space="0" w:color="auto"/>
          </w:divBdr>
        </w:div>
        <w:div w:id="503665403">
          <w:marLeft w:val="547"/>
          <w:marRight w:val="0"/>
          <w:marTop w:val="115"/>
          <w:marBottom w:val="0"/>
          <w:divBdr>
            <w:top w:val="none" w:sz="0" w:space="0" w:color="auto"/>
            <w:left w:val="none" w:sz="0" w:space="0" w:color="auto"/>
            <w:bottom w:val="none" w:sz="0" w:space="0" w:color="auto"/>
            <w:right w:val="none" w:sz="0" w:space="0" w:color="auto"/>
          </w:divBdr>
        </w:div>
        <w:div w:id="628324322">
          <w:marLeft w:val="547"/>
          <w:marRight w:val="0"/>
          <w:marTop w:val="115"/>
          <w:marBottom w:val="0"/>
          <w:divBdr>
            <w:top w:val="none" w:sz="0" w:space="0" w:color="auto"/>
            <w:left w:val="none" w:sz="0" w:space="0" w:color="auto"/>
            <w:bottom w:val="none" w:sz="0" w:space="0" w:color="auto"/>
            <w:right w:val="none" w:sz="0" w:space="0" w:color="auto"/>
          </w:divBdr>
        </w:div>
        <w:div w:id="711536355">
          <w:marLeft w:val="547"/>
          <w:marRight w:val="0"/>
          <w:marTop w:val="115"/>
          <w:marBottom w:val="0"/>
          <w:divBdr>
            <w:top w:val="none" w:sz="0" w:space="0" w:color="auto"/>
            <w:left w:val="none" w:sz="0" w:space="0" w:color="auto"/>
            <w:bottom w:val="none" w:sz="0" w:space="0" w:color="auto"/>
            <w:right w:val="none" w:sz="0" w:space="0" w:color="auto"/>
          </w:divBdr>
        </w:div>
        <w:div w:id="761027940">
          <w:marLeft w:val="547"/>
          <w:marRight w:val="0"/>
          <w:marTop w:val="115"/>
          <w:marBottom w:val="0"/>
          <w:divBdr>
            <w:top w:val="none" w:sz="0" w:space="0" w:color="auto"/>
            <w:left w:val="none" w:sz="0" w:space="0" w:color="auto"/>
            <w:bottom w:val="none" w:sz="0" w:space="0" w:color="auto"/>
            <w:right w:val="none" w:sz="0" w:space="0" w:color="auto"/>
          </w:divBdr>
        </w:div>
        <w:div w:id="851728554">
          <w:marLeft w:val="547"/>
          <w:marRight w:val="0"/>
          <w:marTop w:val="115"/>
          <w:marBottom w:val="0"/>
          <w:divBdr>
            <w:top w:val="none" w:sz="0" w:space="0" w:color="auto"/>
            <w:left w:val="none" w:sz="0" w:space="0" w:color="auto"/>
            <w:bottom w:val="none" w:sz="0" w:space="0" w:color="auto"/>
            <w:right w:val="none" w:sz="0" w:space="0" w:color="auto"/>
          </w:divBdr>
        </w:div>
        <w:div w:id="1035816833">
          <w:marLeft w:val="547"/>
          <w:marRight w:val="0"/>
          <w:marTop w:val="115"/>
          <w:marBottom w:val="0"/>
          <w:divBdr>
            <w:top w:val="none" w:sz="0" w:space="0" w:color="auto"/>
            <w:left w:val="none" w:sz="0" w:space="0" w:color="auto"/>
            <w:bottom w:val="none" w:sz="0" w:space="0" w:color="auto"/>
            <w:right w:val="none" w:sz="0" w:space="0" w:color="auto"/>
          </w:divBdr>
        </w:div>
        <w:div w:id="1037239873">
          <w:marLeft w:val="547"/>
          <w:marRight w:val="0"/>
          <w:marTop w:val="115"/>
          <w:marBottom w:val="0"/>
          <w:divBdr>
            <w:top w:val="none" w:sz="0" w:space="0" w:color="auto"/>
            <w:left w:val="none" w:sz="0" w:space="0" w:color="auto"/>
            <w:bottom w:val="none" w:sz="0" w:space="0" w:color="auto"/>
            <w:right w:val="none" w:sz="0" w:space="0" w:color="auto"/>
          </w:divBdr>
        </w:div>
        <w:div w:id="1457219649">
          <w:marLeft w:val="547"/>
          <w:marRight w:val="0"/>
          <w:marTop w:val="115"/>
          <w:marBottom w:val="0"/>
          <w:divBdr>
            <w:top w:val="none" w:sz="0" w:space="0" w:color="auto"/>
            <w:left w:val="none" w:sz="0" w:space="0" w:color="auto"/>
            <w:bottom w:val="none" w:sz="0" w:space="0" w:color="auto"/>
            <w:right w:val="none" w:sz="0" w:space="0" w:color="auto"/>
          </w:divBdr>
        </w:div>
        <w:div w:id="1753156947">
          <w:marLeft w:val="547"/>
          <w:marRight w:val="0"/>
          <w:marTop w:val="115"/>
          <w:marBottom w:val="0"/>
          <w:divBdr>
            <w:top w:val="none" w:sz="0" w:space="0" w:color="auto"/>
            <w:left w:val="none" w:sz="0" w:space="0" w:color="auto"/>
            <w:bottom w:val="none" w:sz="0" w:space="0" w:color="auto"/>
            <w:right w:val="none" w:sz="0" w:space="0" w:color="auto"/>
          </w:divBdr>
        </w:div>
        <w:div w:id="2058965272">
          <w:marLeft w:val="547"/>
          <w:marRight w:val="0"/>
          <w:marTop w:val="115"/>
          <w:marBottom w:val="0"/>
          <w:divBdr>
            <w:top w:val="none" w:sz="0" w:space="0" w:color="auto"/>
            <w:left w:val="none" w:sz="0" w:space="0" w:color="auto"/>
            <w:bottom w:val="none" w:sz="0" w:space="0" w:color="auto"/>
            <w:right w:val="none" w:sz="0" w:space="0" w:color="auto"/>
          </w:divBdr>
        </w:div>
      </w:divsChild>
    </w:div>
    <w:div w:id="1663197882">
      <w:bodyDiv w:val="1"/>
      <w:marLeft w:val="0"/>
      <w:marRight w:val="0"/>
      <w:marTop w:val="0"/>
      <w:marBottom w:val="0"/>
      <w:divBdr>
        <w:top w:val="none" w:sz="0" w:space="0" w:color="auto"/>
        <w:left w:val="none" w:sz="0" w:space="0" w:color="auto"/>
        <w:bottom w:val="none" w:sz="0" w:space="0" w:color="auto"/>
        <w:right w:val="none" w:sz="0" w:space="0" w:color="auto"/>
      </w:divBdr>
    </w:div>
    <w:div w:id="1719360323">
      <w:bodyDiv w:val="1"/>
      <w:marLeft w:val="0"/>
      <w:marRight w:val="0"/>
      <w:marTop w:val="0"/>
      <w:marBottom w:val="0"/>
      <w:divBdr>
        <w:top w:val="none" w:sz="0" w:space="0" w:color="auto"/>
        <w:left w:val="none" w:sz="0" w:space="0" w:color="auto"/>
        <w:bottom w:val="none" w:sz="0" w:space="0" w:color="auto"/>
        <w:right w:val="none" w:sz="0" w:space="0" w:color="auto"/>
      </w:divBdr>
      <w:divsChild>
        <w:div w:id="525798677">
          <w:marLeft w:val="0"/>
          <w:marRight w:val="0"/>
          <w:marTop w:val="0"/>
          <w:marBottom w:val="0"/>
          <w:divBdr>
            <w:top w:val="none" w:sz="0" w:space="0" w:color="auto"/>
            <w:left w:val="none" w:sz="0" w:space="0" w:color="auto"/>
            <w:bottom w:val="none" w:sz="0" w:space="0" w:color="auto"/>
            <w:right w:val="none" w:sz="0" w:space="0" w:color="auto"/>
          </w:divBdr>
          <w:divsChild>
            <w:div w:id="1459224844">
              <w:marLeft w:val="0"/>
              <w:marRight w:val="0"/>
              <w:marTop w:val="0"/>
              <w:marBottom w:val="0"/>
              <w:divBdr>
                <w:top w:val="none" w:sz="0" w:space="0" w:color="auto"/>
                <w:left w:val="none" w:sz="0" w:space="0" w:color="auto"/>
                <w:bottom w:val="none" w:sz="0" w:space="0" w:color="auto"/>
                <w:right w:val="none" w:sz="0" w:space="0" w:color="auto"/>
              </w:divBdr>
              <w:divsChild>
                <w:div w:id="199902679">
                  <w:marLeft w:val="0"/>
                  <w:marRight w:val="0"/>
                  <w:marTop w:val="0"/>
                  <w:marBottom w:val="0"/>
                  <w:divBdr>
                    <w:top w:val="none" w:sz="0" w:space="0" w:color="auto"/>
                    <w:left w:val="none" w:sz="0" w:space="0" w:color="auto"/>
                    <w:bottom w:val="none" w:sz="0" w:space="0" w:color="auto"/>
                    <w:right w:val="none" w:sz="0" w:space="0" w:color="auto"/>
                  </w:divBdr>
                  <w:divsChild>
                    <w:div w:id="1637176406">
                      <w:marLeft w:val="0"/>
                      <w:marRight w:val="0"/>
                      <w:marTop w:val="0"/>
                      <w:marBottom w:val="0"/>
                      <w:divBdr>
                        <w:top w:val="none" w:sz="0" w:space="0" w:color="auto"/>
                        <w:left w:val="none" w:sz="0" w:space="0" w:color="auto"/>
                        <w:bottom w:val="none" w:sz="0" w:space="0" w:color="auto"/>
                        <w:right w:val="none" w:sz="0" w:space="0" w:color="auto"/>
                      </w:divBdr>
                      <w:divsChild>
                        <w:div w:id="8461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quickfacts.census.gov/qfd/index.html" TargetMode="External"/><Relationship Id="rId117" Type="http://schemas.openxmlformats.org/officeDocument/2006/relationships/hyperlink" Target="http://www.co.pierce.wa.us/xml/services/home/environ/planning/Appendix%20I.pdf" TargetMode="External"/><Relationship Id="rId21" Type="http://schemas.openxmlformats.org/officeDocument/2006/relationships/header" Target="header7.xml"/><Relationship Id="rId42" Type="http://schemas.openxmlformats.org/officeDocument/2006/relationships/hyperlink" Target="http://www.ci.st-joseph.mo.us/publicworks/wpc_cso.asp" TargetMode="External"/><Relationship Id="rId47" Type="http://schemas.openxmlformats.org/officeDocument/2006/relationships/footer" Target="footer6.xml"/><Relationship Id="rId63" Type="http://schemas.openxmlformats.org/officeDocument/2006/relationships/footer" Target="footer14.xml"/><Relationship Id="rId68" Type="http://schemas.openxmlformats.org/officeDocument/2006/relationships/header" Target="header21.xml"/><Relationship Id="rId84" Type="http://schemas.openxmlformats.org/officeDocument/2006/relationships/image" Target="media/image12.emf"/><Relationship Id="rId89" Type="http://schemas.openxmlformats.org/officeDocument/2006/relationships/footer" Target="footer20.xml"/><Relationship Id="rId112" Type="http://schemas.openxmlformats.org/officeDocument/2006/relationships/hyperlink" Target="http://www.cnt.org/natural-resources/demonstration-projects/olgh-case-study" TargetMode="External"/><Relationship Id="rId133" Type="http://schemas.openxmlformats.org/officeDocument/2006/relationships/hyperlink" Target="http://www.werf.org/livablecommunities/" TargetMode="External"/><Relationship Id="rId138" Type="http://schemas.openxmlformats.org/officeDocument/2006/relationships/image" Target="media/image19.jpeg"/><Relationship Id="rId16" Type="http://schemas.openxmlformats.org/officeDocument/2006/relationships/header" Target="header4.xml"/><Relationship Id="rId107" Type="http://schemas.openxmlformats.org/officeDocument/2006/relationships/footer" Target="footer26.xml"/><Relationship Id="rId11" Type="http://schemas.openxmlformats.org/officeDocument/2006/relationships/image" Target="media/image4.jpeg"/><Relationship Id="rId32" Type="http://schemas.openxmlformats.org/officeDocument/2006/relationships/header" Target="header8.xml"/><Relationship Id="rId37" Type="http://schemas.openxmlformats.org/officeDocument/2006/relationships/hyperlink" Target="http://www.fws.gov/endangered/wildlife.html" TargetMode="External"/><Relationship Id="rId53" Type="http://schemas.openxmlformats.org/officeDocument/2006/relationships/header" Target="header15.xml"/><Relationship Id="rId58" Type="http://schemas.openxmlformats.org/officeDocument/2006/relationships/footer" Target="footer12.xml"/><Relationship Id="rId74" Type="http://schemas.openxmlformats.org/officeDocument/2006/relationships/hyperlink" Target="http://en.wikipedia.org/wiki/Rain" TargetMode="External"/><Relationship Id="rId79" Type="http://schemas.openxmlformats.org/officeDocument/2006/relationships/footer" Target="footer18.xml"/><Relationship Id="rId102" Type="http://schemas.openxmlformats.org/officeDocument/2006/relationships/header" Target="header28.xml"/><Relationship Id="rId123" Type="http://schemas.openxmlformats.org/officeDocument/2006/relationships/hyperlink" Target="http://www.nap.edu/catalog.php?record_id=2049" TargetMode="External"/><Relationship Id="rId128" Type="http://schemas.openxmlformats.org/officeDocument/2006/relationships/footer" Target="footer27.xml"/><Relationship Id="rId144" Type="http://schemas.openxmlformats.org/officeDocument/2006/relationships/image" Target="media/image25.png"/><Relationship Id="rId149" Type="http://schemas.openxmlformats.org/officeDocument/2006/relationships/image" Target="media/image30.jpeg"/><Relationship Id="rId5" Type="http://schemas.openxmlformats.org/officeDocument/2006/relationships/webSettings" Target="webSettings.xml"/><Relationship Id="rId90" Type="http://schemas.openxmlformats.org/officeDocument/2006/relationships/header" Target="header26.xml"/><Relationship Id="rId95" Type="http://schemas.openxmlformats.org/officeDocument/2006/relationships/oleObject" Target="embeddings/oleObject2.bin"/><Relationship Id="rId22" Type="http://schemas.openxmlformats.org/officeDocument/2006/relationships/footer" Target="footer2.xml"/><Relationship Id="rId27" Type="http://schemas.openxmlformats.org/officeDocument/2006/relationships/hyperlink" Target="http://www.census.gov/" TargetMode="External"/><Relationship Id="rId43" Type="http://schemas.openxmlformats.org/officeDocument/2006/relationships/hyperlink" Target="http://www.wilmingtoncso.com/CSO_home.htm" TargetMode="External"/><Relationship Id="rId48" Type="http://schemas.openxmlformats.org/officeDocument/2006/relationships/header" Target="header13.xml"/><Relationship Id="rId64" Type="http://schemas.openxmlformats.org/officeDocument/2006/relationships/header" Target="header20.xml"/><Relationship Id="rId69" Type="http://schemas.openxmlformats.org/officeDocument/2006/relationships/hyperlink" Target="http://www.isws.illinois.edu/pubdoc/B/ISWSB-71.pdf" TargetMode="External"/><Relationship Id="rId113" Type="http://schemas.openxmlformats.org/officeDocument/2006/relationships/hyperlink" Target="http://www.lowimpactdevelopment.org/lid%20articles/bigbox_final_doc.pdf" TargetMode="External"/><Relationship Id="rId118" Type="http://schemas.openxmlformats.org/officeDocument/2006/relationships/hyperlink" Target="http://www.atlantaga.gov/client_resources/mayorsoffice/special%20reports-archive/csositev.pdf" TargetMode="External"/><Relationship Id="rId134" Type="http://schemas.openxmlformats.org/officeDocument/2006/relationships/hyperlink" Target="http://www.lid-stormwater.net/" TargetMode="External"/><Relationship Id="rId139" Type="http://schemas.openxmlformats.org/officeDocument/2006/relationships/image" Target="media/image20.jpeg"/><Relationship Id="rId80" Type="http://schemas.openxmlformats.org/officeDocument/2006/relationships/image" Target="media/image8.emf"/><Relationship Id="rId85" Type="http://schemas.openxmlformats.org/officeDocument/2006/relationships/image" Target="media/image13.emf"/><Relationship Id="rId150" Type="http://schemas.openxmlformats.org/officeDocument/2006/relationships/image" Target="media/image31.jpeg"/><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www.nmfs.noaa.gov/" TargetMode="External"/><Relationship Id="rId33" Type="http://schemas.openxmlformats.org/officeDocument/2006/relationships/header" Target="header9.xml"/><Relationship Id="rId38" Type="http://schemas.openxmlformats.org/officeDocument/2006/relationships/image" Target="media/image6.emf"/><Relationship Id="rId46" Type="http://schemas.openxmlformats.org/officeDocument/2006/relationships/footer" Target="footer5.xml"/><Relationship Id="rId59" Type="http://schemas.openxmlformats.org/officeDocument/2006/relationships/hyperlink" Target="http://www.epa.gov/npdes/pubs/csossoRTC2004_AppendixL.pdf" TargetMode="External"/><Relationship Id="rId67" Type="http://schemas.openxmlformats.org/officeDocument/2006/relationships/hyperlink" Target="http://factfinder.census.gov/home/saff/main.html?_lang=en" TargetMode="External"/><Relationship Id="rId103" Type="http://schemas.openxmlformats.org/officeDocument/2006/relationships/footer" Target="footer24.xml"/><Relationship Id="rId108" Type="http://schemas.openxmlformats.org/officeDocument/2006/relationships/hyperlink" Target="http://www.lid-stormwater.net/greenroofs_cost.htm" TargetMode="External"/><Relationship Id="rId116" Type="http://schemas.openxmlformats.org/officeDocument/2006/relationships/hyperlink" Target="http://www.ncgreenbuilding.org" TargetMode="External"/><Relationship Id="rId124" Type="http://schemas.openxmlformats.org/officeDocument/2006/relationships/hyperlink" Target="http://www.nap.edu/catalog.php?record_id=2049" TargetMode="External"/><Relationship Id="rId129" Type="http://schemas.openxmlformats.org/officeDocument/2006/relationships/hyperlink" Target="http://cfpub.epa.gov/npdes/home.cfm?program_id=298" TargetMode="External"/><Relationship Id="rId137" Type="http://schemas.openxmlformats.org/officeDocument/2006/relationships/footer" Target="footer29.xml"/><Relationship Id="rId20" Type="http://schemas.openxmlformats.org/officeDocument/2006/relationships/header" Target="header6.xml"/><Relationship Id="rId41" Type="http://schemas.openxmlformats.org/officeDocument/2006/relationships/image" Target="media/image7.emf"/><Relationship Id="rId54" Type="http://schemas.openxmlformats.org/officeDocument/2006/relationships/footer" Target="footer10.xml"/><Relationship Id="rId62" Type="http://schemas.openxmlformats.org/officeDocument/2006/relationships/footer" Target="footer13.xml"/><Relationship Id="rId70" Type="http://schemas.openxmlformats.org/officeDocument/2006/relationships/hyperlink" Target="http://www.epa.gov/npdes/pubs/owm0111.pdf" TargetMode="External"/><Relationship Id="rId75" Type="http://schemas.openxmlformats.org/officeDocument/2006/relationships/hyperlink" Target="http://en.wikipedia.org/wiki/Meltwater" TargetMode="External"/><Relationship Id="rId83" Type="http://schemas.openxmlformats.org/officeDocument/2006/relationships/image" Target="media/image11.emf"/><Relationship Id="rId88" Type="http://schemas.openxmlformats.org/officeDocument/2006/relationships/footer" Target="footer19.xml"/><Relationship Id="rId91" Type="http://schemas.openxmlformats.org/officeDocument/2006/relationships/footer" Target="footer21.xml"/><Relationship Id="rId96" Type="http://schemas.openxmlformats.org/officeDocument/2006/relationships/image" Target="media/image16.emf"/><Relationship Id="rId111" Type="http://schemas.openxmlformats.org/officeDocument/2006/relationships/hyperlink" Target="http://www.cnt.org/natural-resources/demonstration-projects/st-margaret-mary-church-case-study" TargetMode="External"/><Relationship Id="rId132" Type="http://schemas.openxmlformats.org/officeDocument/2006/relationships/hyperlink" Target="http://www.bmpdatabase.org/" TargetMode="External"/><Relationship Id="rId140" Type="http://schemas.openxmlformats.org/officeDocument/2006/relationships/image" Target="media/image21.jpeg"/><Relationship Id="rId145"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hyperlink" Target="http://quickfacts.census.gov/qfd/states/00000.html" TargetMode="External"/><Relationship Id="rId36" Type="http://schemas.openxmlformats.org/officeDocument/2006/relationships/hyperlink" Target="%20http://sanctuaries.noaa.gov/.%20" TargetMode="External"/><Relationship Id="rId49" Type="http://schemas.openxmlformats.org/officeDocument/2006/relationships/footer" Target="footer7.xml"/><Relationship Id="rId57" Type="http://schemas.openxmlformats.org/officeDocument/2006/relationships/footer" Target="footer11.xml"/><Relationship Id="rId106" Type="http://schemas.openxmlformats.org/officeDocument/2006/relationships/footer" Target="footer25.xml"/><Relationship Id="rId114" Type="http://schemas.openxmlformats.org/officeDocument/2006/relationships/hyperlink" Target="http://www.wetlandstudies.com/portals/4/docUpload/WSSI_LID_2007.pdf" TargetMode="External"/><Relationship Id="rId119" Type="http://schemas.openxmlformats.org/officeDocument/2006/relationships/hyperlink" Target="http://www.atlantaga.gov/client_resources/mayorsoffice/special%20reports-archive/csositev.pdf" TargetMode="External"/><Relationship Id="rId127" Type="http://schemas.openxmlformats.org/officeDocument/2006/relationships/header" Target="header31.xml"/><Relationship Id="rId10" Type="http://schemas.openxmlformats.org/officeDocument/2006/relationships/image" Target="media/image3.jpeg"/><Relationship Id="rId31" Type="http://schemas.openxmlformats.org/officeDocument/2006/relationships/hyperlink" Target="http://www.bls.gov/" TargetMode="External"/><Relationship Id="rId44" Type="http://schemas.openxmlformats.org/officeDocument/2006/relationships/header" Target="header11.xml"/><Relationship Id="rId52" Type="http://schemas.openxmlformats.org/officeDocument/2006/relationships/footer" Target="footer9.xml"/><Relationship Id="rId60" Type="http://schemas.openxmlformats.org/officeDocument/2006/relationships/header" Target="header18.xml"/><Relationship Id="rId65" Type="http://schemas.openxmlformats.org/officeDocument/2006/relationships/footer" Target="footer15.xml"/><Relationship Id="rId73" Type="http://schemas.openxmlformats.org/officeDocument/2006/relationships/hyperlink" Target="http://www.epa.gov/npdes/pubs/sewer.pdf" TargetMode="External"/><Relationship Id="rId78" Type="http://schemas.openxmlformats.org/officeDocument/2006/relationships/footer" Target="footer17.xml"/><Relationship Id="rId81" Type="http://schemas.openxmlformats.org/officeDocument/2006/relationships/image" Target="media/image9.emf"/><Relationship Id="rId86" Type="http://schemas.openxmlformats.org/officeDocument/2006/relationships/header" Target="header24.xml"/><Relationship Id="rId94" Type="http://schemas.openxmlformats.org/officeDocument/2006/relationships/image" Target="media/image15.wmf"/><Relationship Id="rId99" Type="http://schemas.openxmlformats.org/officeDocument/2006/relationships/header" Target="header27.xml"/><Relationship Id="rId101" Type="http://schemas.openxmlformats.org/officeDocument/2006/relationships/footer" Target="footer23.xml"/><Relationship Id="rId122" Type="http://schemas.openxmlformats.org/officeDocument/2006/relationships/hyperlink" Target="http://www.lake.onondaga.ny.us/olpdf/ol303ad.pdf" TargetMode="External"/><Relationship Id="rId130" Type="http://schemas.openxmlformats.org/officeDocument/2006/relationships/hyperlink" Target="http://greenvalues.cnt.org/" TargetMode="External"/><Relationship Id="rId135" Type="http://schemas.openxmlformats.org/officeDocument/2006/relationships/header" Target="header32.xml"/><Relationship Id="rId143" Type="http://schemas.openxmlformats.org/officeDocument/2006/relationships/image" Target="media/image24.jpeg"/><Relationship Id="rId148" Type="http://schemas.openxmlformats.org/officeDocument/2006/relationships/image" Target="media/image29.jpe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www.epa.gov/npdes/cso" TargetMode="External"/><Relationship Id="rId39" Type="http://schemas.openxmlformats.org/officeDocument/2006/relationships/hyperlink" Target="http://www.epa.gov/waters/305b/index.html" TargetMode="External"/><Relationship Id="rId109" Type="http://schemas.openxmlformats.org/officeDocument/2006/relationships/hyperlink" Target="http://www.greenroofs.org/index.php" TargetMode="External"/><Relationship Id="rId34" Type="http://schemas.openxmlformats.org/officeDocument/2006/relationships/footer" Target="footer4.xml"/><Relationship Id="rId50" Type="http://schemas.openxmlformats.org/officeDocument/2006/relationships/header" Target="header14.xml"/><Relationship Id="rId55" Type="http://schemas.openxmlformats.org/officeDocument/2006/relationships/header" Target="header16.xml"/><Relationship Id="rId76" Type="http://schemas.openxmlformats.org/officeDocument/2006/relationships/header" Target="header22.xml"/><Relationship Id="rId97" Type="http://schemas.openxmlformats.org/officeDocument/2006/relationships/image" Target="media/image17.emf"/><Relationship Id="rId104" Type="http://schemas.openxmlformats.org/officeDocument/2006/relationships/header" Target="header29.xml"/><Relationship Id="rId120" Type="http://schemas.openxmlformats.org/officeDocument/2006/relationships/hyperlink" Target="http://books.nap.edu/books/0309048265/html/357.html" TargetMode="External"/><Relationship Id="rId125" Type="http://schemas.openxmlformats.org/officeDocument/2006/relationships/hyperlink" Target="http://www.rougeriver.com/cso/overview.html" TargetMode="External"/><Relationship Id="rId141" Type="http://schemas.openxmlformats.org/officeDocument/2006/relationships/image" Target="media/image22.png"/><Relationship Id="rId146"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hyperlink" Target="http://www.epa.gov/npdes/pubs/owm0030.pdf" TargetMode="External"/><Relationship Id="rId92" Type="http://schemas.openxmlformats.org/officeDocument/2006/relationships/image" Target="media/image14.wmf"/><Relationship Id="rId2" Type="http://schemas.openxmlformats.org/officeDocument/2006/relationships/numbering" Target="numbering.xml"/><Relationship Id="rId29" Type="http://schemas.openxmlformats.org/officeDocument/2006/relationships/hyperlink" Target="http://data.bls.gov/pdq/querytool.jsp?survey=la" TargetMode="External"/><Relationship Id="rId24" Type="http://schemas.openxmlformats.org/officeDocument/2006/relationships/hyperlink" Target="http://ecos.fws.gov/tess_public/StartTESS.do" TargetMode="External"/><Relationship Id="rId40" Type="http://schemas.openxmlformats.org/officeDocument/2006/relationships/hyperlink" Target="http://www.epa.gov/owow/tmdl/" TargetMode="External"/><Relationship Id="rId45" Type="http://schemas.openxmlformats.org/officeDocument/2006/relationships/header" Target="header12.xml"/><Relationship Id="rId66" Type="http://schemas.openxmlformats.org/officeDocument/2006/relationships/footer" Target="footer16.xml"/><Relationship Id="rId87" Type="http://schemas.openxmlformats.org/officeDocument/2006/relationships/header" Target="header25.xml"/><Relationship Id="rId110" Type="http://schemas.openxmlformats.org/officeDocument/2006/relationships/hyperlink" Target="http://www.wetlandstudies.com/portals/4/docUpload/WSSI_LID_2007.pdf" TargetMode="External"/><Relationship Id="rId115" Type="http://schemas.openxmlformats.org/officeDocument/2006/relationships/hyperlink" Target="http://www.nyc.gov/html/planyc2030/html/stormwater/stormwater.shtml" TargetMode="External"/><Relationship Id="rId131" Type="http://schemas.openxmlformats.org/officeDocument/2006/relationships/hyperlink" Target="http://www.stormwatercenter.net/" TargetMode="External"/><Relationship Id="rId136" Type="http://schemas.openxmlformats.org/officeDocument/2006/relationships/footer" Target="footer28.xml"/><Relationship Id="rId61" Type="http://schemas.openxmlformats.org/officeDocument/2006/relationships/header" Target="header19.xml"/><Relationship Id="rId82" Type="http://schemas.openxmlformats.org/officeDocument/2006/relationships/image" Target="media/image10.emf"/><Relationship Id="rId152" Type="http://schemas.openxmlformats.org/officeDocument/2006/relationships/theme" Target="theme/theme1.xml"/><Relationship Id="rId19" Type="http://schemas.openxmlformats.org/officeDocument/2006/relationships/hyperlink" Target="http://cfpub.epa.gov/npdes/home.cfm?program_id=5" TargetMode="External"/><Relationship Id="rId14" Type="http://schemas.openxmlformats.org/officeDocument/2006/relationships/footer" Target="footer1.xml"/><Relationship Id="rId30" Type="http://schemas.openxmlformats.org/officeDocument/2006/relationships/hyperlink" Target="http://data.bls.gov/pdq/querytool.jsp?survey=la" TargetMode="External"/><Relationship Id="rId35" Type="http://schemas.openxmlformats.org/officeDocument/2006/relationships/header" Target="header10.xml"/><Relationship Id="rId56" Type="http://schemas.openxmlformats.org/officeDocument/2006/relationships/header" Target="header17.xml"/><Relationship Id="rId77" Type="http://schemas.openxmlformats.org/officeDocument/2006/relationships/header" Target="header23.xml"/><Relationship Id="rId100" Type="http://schemas.openxmlformats.org/officeDocument/2006/relationships/footer" Target="footer22.xml"/><Relationship Id="rId105" Type="http://schemas.openxmlformats.org/officeDocument/2006/relationships/header" Target="header30.xml"/><Relationship Id="rId126" Type="http://schemas.openxmlformats.org/officeDocument/2006/relationships/hyperlink" Target="http://www.swrcb.ca.gov/rwqcb2/Agenda/07-16-03/07-16-03-fsheetattachments.doc" TargetMode="External"/><Relationship Id="rId147"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footer" Target="footer8.xml"/><Relationship Id="rId72" Type="http://schemas.openxmlformats.org/officeDocument/2006/relationships/hyperlink" Target="http://www.epa.gov/npdes/pubs/csofc.pdf" TargetMode="External"/><Relationship Id="rId93" Type="http://schemas.openxmlformats.org/officeDocument/2006/relationships/oleObject" Target="embeddings/oleObject1.bin"/><Relationship Id="rId98" Type="http://schemas.openxmlformats.org/officeDocument/2006/relationships/image" Target="media/image18.emf"/><Relationship Id="rId121" Type="http://schemas.openxmlformats.org/officeDocument/2006/relationships/hyperlink" Target="http://www.dcwasa.com/news/publications/Ops%20Minutes%20July%202004.pdf" TargetMode="External"/><Relationship Id="rId142" Type="http://schemas.openxmlformats.org/officeDocument/2006/relationships/image" Target="media/image23.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26" Type="http://schemas.openxmlformats.org/officeDocument/2006/relationships/hyperlink" Target="http://www.bae.ncsu.edu/greenroofs/" TargetMode="External"/><Relationship Id="rId117" Type="http://schemas.openxmlformats.org/officeDocument/2006/relationships/hyperlink" Target="http://www.epa.gov/owow/wetlands/pdf/hand.pdf" TargetMode="External"/><Relationship Id="rId21" Type="http://schemas.openxmlformats.org/officeDocument/2006/relationships/hyperlink" Target="http://www.riverkeeper.org/wp-content/uploads/2009/06/Sustainable-Raindrops-Report-1-8-08.pdf" TargetMode="External"/><Relationship Id="rId42" Type="http://schemas.openxmlformats.org/officeDocument/2006/relationships/hyperlink" Target="http://www.elibrary.dep.state.pa.us/dsweb/View/Collection-8305" TargetMode="External"/><Relationship Id="rId47" Type="http://schemas.openxmlformats.org/officeDocument/2006/relationships/hyperlink" Target="http://www.ci.chula-vista.ca.us/City_Services/%20Development_Services/Engineering/%20PDF%20Files/%20StormWaterManual/B-1.pdf" TargetMode="External"/><Relationship Id="rId63" Type="http://schemas.openxmlformats.org/officeDocument/2006/relationships/hyperlink" Target="http://cfpub.epa.gov/npdes/stormwater/menuofbmps/index.cfm?action=factsheet_results&amp;view=specific&amp;bmp=75&amp;minmeasure=5" TargetMode="External"/><Relationship Id="rId68" Type="http://schemas.openxmlformats.org/officeDocument/2006/relationships/hyperlink" Target="http://www.chesapeakestormwater.net/storage/first-draft-baywide-design-specificationsi/BAYWIDE%20No%203%20GRASS%20CHANNEL%20SPECIFICATION.pdf" TargetMode="External"/><Relationship Id="rId84" Type="http://schemas.openxmlformats.org/officeDocument/2006/relationships/hyperlink" Target="http://www.stormwatercenter.net/Assorted%20Fact%20Sheets/Tool6_Stormwater_Practices/Infiltration%20Practice/Porous%20Pavement.htm" TargetMode="External"/><Relationship Id="rId89" Type="http://schemas.openxmlformats.org/officeDocument/2006/relationships/hyperlink" Target="http://www.chesapeakestormwater.net/storage/first-draft-baywide-design-specificationsi/BAYWIDE%20No%207%20PERMEABLE%20PAVERS.pdf" TargetMode="External"/><Relationship Id="rId112" Type="http://schemas.openxmlformats.org/officeDocument/2006/relationships/hyperlink" Target="http://www.mdpi.com/2073-4441/2/3/530/pdf" TargetMode="External"/><Relationship Id="rId133" Type="http://schemas.openxmlformats.org/officeDocument/2006/relationships/hyperlink" Target="http://www.riverkeeper.org/wp-content/uploads/2009/06/Sustainable-Raindrops-Report-1-8-08.pdf" TargetMode="External"/><Relationship Id="rId138" Type="http://schemas.openxmlformats.org/officeDocument/2006/relationships/hyperlink" Target="http://www.epa.gov/owow/NPS/lid/costs07/documents/reducingstormwatercosts.pdf" TargetMode="External"/><Relationship Id="rId16" Type="http://schemas.openxmlformats.org/officeDocument/2006/relationships/hyperlink" Target="http://www.nrdc.org/water/pollution/rooftops/contents.asp" TargetMode="External"/><Relationship Id="rId107" Type="http://schemas.openxmlformats.org/officeDocument/2006/relationships/hyperlink" Target="http://buildgreen.ufl.edu/Fact_%20sheet_Cisterns_Rain_Barrels.pdf" TargetMode="External"/><Relationship Id="rId11" Type="http://schemas.openxmlformats.org/officeDocument/2006/relationships/hyperlink" Target="http://www.sciencedaily.com/releases/2005/11/051126141309.htm" TargetMode="External"/><Relationship Id="rId32" Type="http://schemas.openxmlformats.org/officeDocument/2006/relationships/hyperlink" Target="http://dnr.wi.gov/org/water/wm/dsfm/shore/documents/rgmanual.pdf" TargetMode="External"/><Relationship Id="rId37" Type="http://schemas.openxmlformats.org/officeDocument/2006/relationships/hyperlink" Target="http://cfpub.epa.gov/npdes/stormwater/menuofbmps/index.cfm?action=factsheet_results&amp;view=specific&amp;bmp=72" TargetMode="External"/><Relationship Id="rId53" Type="http://schemas.openxmlformats.org/officeDocument/2006/relationships/hyperlink" Target="http://www.elibrary.dep.state.pa.us/dsweb/View/Collection-8305" TargetMode="External"/><Relationship Id="rId58" Type="http://schemas.openxmlformats.org/officeDocument/2006/relationships/hyperlink" Target="http://www.crwa.org/projects/bmpfactsheets/crwa_vegetated_swale.pdf" TargetMode="External"/><Relationship Id="rId74" Type="http://schemas.openxmlformats.org/officeDocument/2006/relationships/hyperlink" Target="http://cfpub.epa.gov/npdes/stormwater/menuofbmps/index.cfm?action=factsheet_results&amp;view=specific&amp;bmp=135&amp;minmeasure=5" TargetMode="External"/><Relationship Id="rId79" Type="http://schemas.openxmlformats.org/officeDocument/2006/relationships/hyperlink" Target="http://www.cnt.org/repository/GreenInfrastructureReportCivicFederation%2010-07.pdf" TargetMode="External"/><Relationship Id="rId102" Type="http://schemas.openxmlformats.org/officeDocument/2006/relationships/hyperlink" Target="http://www.lid-stormwater.net/raincist_maintain.htm" TargetMode="External"/><Relationship Id="rId123" Type="http://schemas.openxmlformats.org/officeDocument/2006/relationships/hyperlink" Target="http://www.elibrary.dep.state.pa.us/dsweb/View/Collection-8305" TargetMode="External"/><Relationship Id="rId128" Type="http://schemas.openxmlformats.org/officeDocument/2006/relationships/hyperlink" Target="http://www.waterworld.com/index/display/article-display/articles/urban-water-management/volume-4/issue-4/features/tree-filter-systems-for-effective-urban-stormwater-management_.html" TargetMode="External"/><Relationship Id="rId5" Type="http://schemas.openxmlformats.org/officeDocument/2006/relationships/hyperlink" Target="http://www.epa.gov/nrmrl/pubs/600r09026/600r09026.pdf" TargetMode="External"/><Relationship Id="rId90" Type="http://schemas.openxmlformats.org/officeDocument/2006/relationships/hyperlink" Target="http://www.riverkeeper.org/wp-content/uploads/2009/06/Sustainable-Raindrops-Report-1-8-08.pdf" TargetMode="External"/><Relationship Id="rId95" Type="http://schemas.openxmlformats.org/officeDocument/2006/relationships/hyperlink" Target="http://www.riverkeeper.org/wp-content/uploads/2009/06/Sustainable-Raindrops-Report-1-8-08.pdf" TargetMode="External"/><Relationship Id="rId22" Type="http://schemas.openxmlformats.org/officeDocument/2006/relationships/hyperlink" Target="http://www.dec.ny.gov/chemical/29072.html" TargetMode="External"/><Relationship Id="rId27" Type="http://schemas.openxmlformats.org/officeDocument/2006/relationships/hyperlink" Target="http://horticulture.psu.edu/cms/greenroofcenter/" TargetMode="External"/><Relationship Id="rId43" Type="http://schemas.openxmlformats.org/officeDocument/2006/relationships/hyperlink" Target="http://cfpub.epa.gov/npdes/stormwater/menuofbmps/index.cfm?action=factsheet_results&amp;view=specific&amp;bmp=72&amp;minmeasure=5" TargetMode="External"/><Relationship Id="rId48" Type="http://schemas.openxmlformats.org/officeDocument/2006/relationships/hyperlink" Target="http://dnr.wi.gov/runoff/stormwater/technote.htm" TargetMode="External"/><Relationship Id="rId64" Type="http://schemas.openxmlformats.org/officeDocument/2006/relationships/hyperlink" Target="http://www.elibrary.dep.state.pa.us/dsweb/View/Collection-8305" TargetMode="External"/><Relationship Id="rId69" Type="http://schemas.openxmlformats.org/officeDocument/2006/relationships/hyperlink" Target="http://buildgreen.ufl.edu/Fact_sheet_Bioswales_Vegetated_Swales.pdf" TargetMode="External"/><Relationship Id="rId113" Type="http://schemas.openxmlformats.org/officeDocument/2006/relationships/hyperlink" Target="http://www.epa.gov/owow/wetlands/pdf/hand.pdf" TargetMode="External"/><Relationship Id="rId118" Type="http://schemas.openxmlformats.org/officeDocument/2006/relationships/hyperlink" Target="http://www.elibrary.dep.state.pa.us/dsweb/View/Collection-8305" TargetMode="External"/><Relationship Id="rId134" Type="http://schemas.openxmlformats.org/officeDocument/2006/relationships/hyperlink" Target="http://cfpub.epa.gov/npdes/stormwater/menuofbmps/index.cfm?action=factsheet_results&amp;view=specific&amp;bmp=18" TargetMode="External"/><Relationship Id="rId139" Type="http://schemas.openxmlformats.org/officeDocument/2006/relationships/hyperlink" Target="http://www.rmi.org/sitepages/pid209.php" TargetMode="External"/><Relationship Id="rId8" Type="http://schemas.openxmlformats.org/officeDocument/2006/relationships/hyperlink" Target="http://www.dec.ny.gov/chemical/29072.html" TargetMode="External"/><Relationship Id="rId51" Type="http://schemas.openxmlformats.org/officeDocument/2006/relationships/hyperlink" Target="http://www.chesapeakestormwater.net/storage/first-draft-baywide-design-specificationsi/BAYWIDE%20No%209%20BIORETENTION%20DESIGN%20SPECIFICATION.pdf" TargetMode="External"/><Relationship Id="rId72" Type="http://schemas.openxmlformats.org/officeDocument/2006/relationships/hyperlink" Target="http://www.dec.ny.gov/chemical/29072.html" TargetMode="External"/><Relationship Id="rId80" Type="http://schemas.openxmlformats.org/officeDocument/2006/relationships/hyperlink" Target="http://cfpub.epa.gov/npdes/stormwater/menuofbmps/index.cfm?action=factsheet_results&amp;view=specific&amp;bmp=135&amp;minmeasure=5" TargetMode="External"/><Relationship Id="rId85" Type="http://schemas.openxmlformats.org/officeDocument/2006/relationships/hyperlink" Target="http://www.cabmphandbooks.com/Documents/Development/SD-20.pdf" TargetMode="External"/><Relationship Id="rId93" Type="http://schemas.openxmlformats.org/officeDocument/2006/relationships/hyperlink" Target="http://www.dec.ny.gov/chemical/29072.html" TargetMode="External"/><Relationship Id="rId98" Type="http://schemas.openxmlformats.org/officeDocument/2006/relationships/hyperlink" Target="http://www.dec.ny.gov/chemical/29072.html" TargetMode="External"/><Relationship Id="rId121" Type="http://schemas.openxmlformats.org/officeDocument/2006/relationships/hyperlink" Target="http://www.epa.gov/owow/wetlands/pdf/hand.pdf" TargetMode="External"/><Relationship Id="rId142" Type="http://schemas.openxmlformats.org/officeDocument/2006/relationships/hyperlink" Target="http://www.dec.ny.gov/chemical/29072.html" TargetMode="External"/><Relationship Id="rId3" Type="http://schemas.openxmlformats.org/officeDocument/2006/relationships/hyperlink" Target="http://www.epa.gov/nrmrl/pubs/600r09026/600r09026.pdf" TargetMode="External"/><Relationship Id="rId12" Type="http://schemas.openxmlformats.org/officeDocument/2006/relationships/hyperlink" Target="http://www.epa.gov/nrmrl/pubs/600r09026/600r09026.pdf" TargetMode="External"/><Relationship Id="rId17" Type="http://schemas.openxmlformats.org/officeDocument/2006/relationships/hyperlink" Target="http://www.nrdc.org/water/pollution/rooftops/contents.asp" TargetMode="External"/><Relationship Id="rId25" Type="http://schemas.openxmlformats.org/officeDocument/2006/relationships/hyperlink" Target="http://www.greenroofs.org/index.php/greensavecalc" TargetMode="External"/><Relationship Id="rId33" Type="http://schemas.openxmlformats.org/officeDocument/2006/relationships/hyperlink" Target="http://www.elibrary.dep.state.pa.us/dsweb/View/Collection-8305" TargetMode="External"/><Relationship Id="rId38" Type="http://schemas.openxmlformats.org/officeDocument/2006/relationships/hyperlink" Target="http://cfpub.epa.gov/npdes/stormwater/menuofbmps/index.cfm?action=factsheet_results&amp;view=specific&amp;bmp=72&amp;minmeasure=5" TargetMode="External"/><Relationship Id="rId46" Type="http://schemas.openxmlformats.org/officeDocument/2006/relationships/hyperlink" Target="http://www.lrrb.org/pdf/200523.pdf" TargetMode="External"/><Relationship Id="rId59" Type="http://schemas.openxmlformats.org/officeDocument/2006/relationships/hyperlink" Target="http://cfpub.epa.gov/npdes/stormwater/menuofbmps/index.cfm?action=factsheet_results&amp;view=specific&amp;bmp=75&amp;minmeasure=5" TargetMode="External"/><Relationship Id="rId67" Type="http://schemas.openxmlformats.org/officeDocument/2006/relationships/hyperlink" Target="http://www.ci.chula-vista.ca.us/City_Services/%20Development_Services/Engineering/%20PDF%20Files/%20StormWaterManual/B-13.pdf" TargetMode="External"/><Relationship Id="rId103" Type="http://schemas.openxmlformats.org/officeDocument/2006/relationships/hyperlink" Target="http://www.enewsbuilder.net/watercon/e_article001088596.cfm?x=bcD0Ls9,b2PRJJ7l" TargetMode="External"/><Relationship Id="rId108" Type="http://schemas.openxmlformats.org/officeDocument/2006/relationships/hyperlink" Target="http://www.bae.ncsu.edu/topic/waterharvesting/" TargetMode="External"/><Relationship Id="rId116" Type="http://schemas.openxmlformats.org/officeDocument/2006/relationships/hyperlink" Target="http://www.metrocouncil.org/environment/Water/BMP/CH3_STConstWLSwWetland.pdf" TargetMode="External"/><Relationship Id="rId124" Type="http://schemas.openxmlformats.org/officeDocument/2006/relationships/hyperlink" Target="http://cfpub.epa.gov/npdes/stormwater/menuofbmps/index.cfm?action=factsheet_results&amp;view=specific&amp;bmp=74" TargetMode="External"/><Relationship Id="rId129" Type="http://schemas.openxmlformats.org/officeDocument/2006/relationships/hyperlink" Target="http://www.waterworld.com/index/display/article-display/articles/urban-water-management/volume-4/issue-4/features/tree-filter-systems-for-effective-urban-stormwater-management_.html" TargetMode="External"/><Relationship Id="rId137" Type="http://schemas.openxmlformats.org/officeDocument/2006/relationships/hyperlink" Target="http://www.nycgovparks.org/sub_your_park/trees_greenstreets/tree_care_tips/water.html" TargetMode="External"/><Relationship Id="rId20" Type="http://schemas.openxmlformats.org/officeDocument/2006/relationships/hyperlink" Target="http://www.dec.ny.gov/chemical/29072.html" TargetMode="External"/><Relationship Id="rId41" Type="http://schemas.openxmlformats.org/officeDocument/2006/relationships/hyperlink" Target="http://www.nrdc.org/water/pollution/rooftops/contents.asp" TargetMode="External"/><Relationship Id="rId54" Type="http://schemas.openxmlformats.org/officeDocument/2006/relationships/hyperlink" Target="http://cfpub.epa.gov/npdes/stormwater/menuofbmps/index.cfm?action=factsheet_results&amp;view=specific&amp;bmp=75&amp;minmeasure=5" TargetMode="External"/><Relationship Id="rId62" Type="http://schemas.openxmlformats.org/officeDocument/2006/relationships/hyperlink" Target="http://www.elibrary.dep.state.pa.us/dsweb/View/Collection-8305" TargetMode="External"/><Relationship Id="rId70" Type="http://schemas.openxmlformats.org/officeDocument/2006/relationships/hyperlink" Target="http://www.sustainindy.org/assets/uploads/4.7%20Swales.pdf" TargetMode="External"/><Relationship Id="rId75" Type="http://schemas.openxmlformats.org/officeDocument/2006/relationships/hyperlink" Target="http://www.elibrary.dep.state.pa.us/dsweb/View/Collection-8305" TargetMode="External"/><Relationship Id="rId83" Type="http://schemas.openxmlformats.org/officeDocument/2006/relationships/hyperlink" Target="http://www.stormwatercenter.net/Assorted%20Fact%20Sheets/Tool6_Stormwater_Practices/Infiltration%20Practice/Porous%20Pavement.htm" TargetMode="External"/><Relationship Id="rId88" Type="http://schemas.openxmlformats.org/officeDocument/2006/relationships/hyperlink" Target="http://www.bae.ncsu.edu/info/permeable-pavement/" TargetMode="External"/><Relationship Id="rId91" Type="http://schemas.openxmlformats.org/officeDocument/2006/relationships/hyperlink" Target="http://www.dec.ny.gov/chemical/29072.html" TargetMode="External"/><Relationship Id="rId96" Type="http://schemas.openxmlformats.org/officeDocument/2006/relationships/hyperlink" Target="http://www.dec.ny.gov/chemical/29072.html" TargetMode="External"/><Relationship Id="rId111" Type="http://schemas.openxmlformats.org/officeDocument/2006/relationships/hyperlink" Target="http://www.dec.ny.gov/chemical/29072.html" TargetMode="External"/><Relationship Id="rId132" Type="http://schemas.openxmlformats.org/officeDocument/2006/relationships/hyperlink" Target="http://www.riverkeeper.org/wp-content/uploads/2009/06/Sustainable-Raindrops-Report-1-8-08.pdf" TargetMode="External"/><Relationship Id="rId140" Type="http://schemas.openxmlformats.org/officeDocument/2006/relationships/hyperlink" Target="http://www.nrdc.org/water/pollution/rooftops/contents.asp" TargetMode="External"/><Relationship Id="rId1" Type="http://schemas.openxmlformats.org/officeDocument/2006/relationships/hyperlink" Target="http://www.dec.ny.gov/chemical/29072.html" TargetMode="External"/><Relationship Id="rId6" Type="http://schemas.openxmlformats.org/officeDocument/2006/relationships/hyperlink" Target="http://www.portlandonline.com/BES/index.cfm?a=261053&amp;c=50818" TargetMode="External"/><Relationship Id="rId15" Type="http://schemas.openxmlformats.org/officeDocument/2006/relationships/hyperlink" Target="http://www.riverkeeper.org/wp-content/uploads/2009/06/Sustainable-Raindrops-Report-1-8-08.pdf" TargetMode="External"/><Relationship Id="rId23" Type="http://schemas.openxmlformats.org/officeDocument/2006/relationships/hyperlink" Target="http://www.portlandonline.com/BES/index.cfm?a=261053&amp;c=50818" TargetMode="External"/><Relationship Id="rId28" Type="http://schemas.openxmlformats.org/officeDocument/2006/relationships/hyperlink" Target="http://www.chesapeakestormwater.net/storage/first-draft-baywide-design-specificationsi/BAYWIDE%20No%205%20GREEN%20ROOF%20DESIGN%20SPECFICATION.pdf" TargetMode="External"/><Relationship Id="rId36" Type="http://schemas.openxmlformats.org/officeDocument/2006/relationships/hyperlink" Target="http://www.dec.ny.gov/chemical/29072.html" TargetMode="External"/><Relationship Id="rId49" Type="http://schemas.openxmlformats.org/officeDocument/2006/relationships/hyperlink" Target="http://www.bae.ncsu.edu/topic/bioretention/" TargetMode="External"/><Relationship Id="rId57" Type="http://schemas.openxmlformats.org/officeDocument/2006/relationships/hyperlink" Target="http://cfpub.epa.gov/npdes/stormwater/menuofbmps/index.cfm?action=factsheet_results&amp;view=specific&amp;bmp=75&amp;minmeasure=5" TargetMode="External"/><Relationship Id="rId106" Type="http://schemas.openxmlformats.org/officeDocument/2006/relationships/hyperlink" Target="http://www.epa.gov/owow_keep/NPS/chesbay502/" TargetMode="External"/><Relationship Id="rId114" Type="http://schemas.openxmlformats.org/officeDocument/2006/relationships/hyperlink" Target="http://www.epa.gov/owow/wetlands/pdf/hand.pdf" TargetMode="External"/><Relationship Id="rId119" Type="http://schemas.openxmlformats.org/officeDocument/2006/relationships/hyperlink" Target="http://cfpub.epa.gov/npdes/stormwater/menuofbmps/index.cfm?action=factsheet_results&amp;view=specific&amp;bmp=74" TargetMode="External"/><Relationship Id="rId127" Type="http://schemas.openxmlformats.org/officeDocument/2006/relationships/hyperlink" Target="http://www.dec.ny.gov/chemical/29072.html" TargetMode="External"/><Relationship Id="rId10" Type="http://schemas.openxmlformats.org/officeDocument/2006/relationships/hyperlink" Target="http://www.buildings.com/ArticleDetails/tabid/3321/ArticleID/3187/Default.aspx" TargetMode="External"/><Relationship Id="rId31" Type="http://schemas.openxmlformats.org/officeDocument/2006/relationships/hyperlink" Target="http://www.dec.ny.gov/chemical/29072.html" TargetMode="External"/><Relationship Id="rId44" Type="http://schemas.openxmlformats.org/officeDocument/2006/relationships/hyperlink" Target="http://www.groundwater.org/ta/raingardens.html" TargetMode="External"/><Relationship Id="rId52" Type="http://schemas.openxmlformats.org/officeDocument/2006/relationships/hyperlink" Target="http://cfpub.epa.gov/npdes/stormwater/menuofbmps/index.cfm?action=factsheet_results&amp;view=specific&amp;bmp=75&amp;minmeasure=5" TargetMode="External"/><Relationship Id="rId60" Type="http://schemas.openxmlformats.org/officeDocument/2006/relationships/hyperlink" Target="http://cfpub.epa.gov/npdes/stormwater/menuofbmps/index.cfm?action=factsheet_results&amp;view=specific&amp;bmp=75&amp;minmeasure=5" TargetMode="External"/><Relationship Id="rId65" Type="http://schemas.openxmlformats.org/officeDocument/2006/relationships/hyperlink" Target="http://www.stormwatercenter.net/Assorted%20Fact%20Sheets/Tool6_Stormwater_Practices/Open%20Channel%20Practice/Grassed%20Channel.htm" TargetMode="External"/><Relationship Id="rId73" Type="http://schemas.openxmlformats.org/officeDocument/2006/relationships/hyperlink" Target="http://cfpub.epa.gov/npdes/stormwater/menuofbmps/index.cfm?action=factsheet_results&amp;view=specific&amp;bmp=135&amp;minmeasure=5" TargetMode="External"/><Relationship Id="rId78" Type="http://schemas.openxmlformats.org/officeDocument/2006/relationships/hyperlink" Target="http://www.cnt.org/repository/GreenInfrastructureReportCivicFederation%2010-07.pdf" TargetMode="External"/><Relationship Id="rId81" Type="http://schemas.openxmlformats.org/officeDocument/2006/relationships/hyperlink" Target="http://www.dec.ny.gov/chemical/29072.html" TargetMode="External"/><Relationship Id="rId86" Type="http://schemas.openxmlformats.org/officeDocument/2006/relationships/hyperlink" Target="http://www.ci.chula-vista.ca.us/City_Services/Development_Services/Engineering/%20PDF%20Files/%20StormWaterManual/B-10.pdf" TargetMode="External"/><Relationship Id="rId94" Type="http://schemas.openxmlformats.org/officeDocument/2006/relationships/hyperlink" Target="http://www.ose.state.nm.us/water-info/conservation/rainwater-harvesting.pdf" TargetMode="External"/><Relationship Id="rId99" Type="http://schemas.openxmlformats.org/officeDocument/2006/relationships/hyperlink" Target="http://www.dec.ny.gov/chemical/29072.html" TargetMode="External"/><Relationship Id="rId101" Type="http://schemas.openxmlformats.org/officeDocument/2006/relationships/hyperlink" Target="http://www.riverkeeper.org/wp-content/uploads/2009/06/Sustainable-Raindrops-Report-1-8-08.pdf" TargetMode="External"/><Relationship Id="rId122" Type="http://schemas.openxmlformats.org/officeDocument/2006/relationships/hyperlink" Target="http://pubs.acs.org/doi/abs/10.1021/es802958q" TargetMode="External"/><Relationship Id="rId130" Type="http://schemas.openxmlformats.org/officeDocument/2006/relationships/hyperlink" Target="http://www.dec.ny.gov/chemical/29072.html" TargetMode="External"/><Relationship Id="rId135" Type="http://schemas.openxmlformats.org/officeDocument/2006/relationships/hyperlink" Target="http://cfpub.epa.gov/npdes/stormwater/menuofbmps/index.cfm?action=factsheet_results&amp;view=specific&amp;bmp=18" TargetMode="External"/><Relationship Id="rId143" Type="http://schemas.openxmlformats.org/officeDocument/2006/relationships/hyperlink" Target="http://cfpub.epa.gov/npdes/stormwater/menuofbmps/index.cfm?action=factsheet_results&amp;view=specific&amp;bmp=18" TargetMode="External"/><Relationship Id="rId4" Type="http://schemas.openxmlformats.org/officeDocument/2006/relationships/hyperlink" Target="http://www.dec.ny.gov/chemical/29072.html" TargetMode="External"/><Relationship Id="rId9" Type="http://schemas.openxmlformats.org/officeDocument/2006/relationships/hyperlink" Target="http://www.portlandonline.com/BES/index.cfm?a=261053&amp;c=50818" TargetMode="External"/><Relationship Id="rId13" Type="http://schemas.openxmlformats.org/officeDocument/2006/relationships/hyperlink" Target="http://www.epa.gov/nrmrl/pubs/600r09026/600r09026.pdf" TargetMode="External"/><Relationship Id="rId18" Type="http://schemas.openxmlformats.org/officeDocument/2006/relationships/hyperlink" Target="http://www.elibrary.dep.state.pa.us/dsweb/View/Collection-8305" TargetMode="External"/><Relationship Id="rId39" Type="http://schemas.openxmlformats.org/officeDocument/2006/relationships/hyperlink" Target="http://www.dec.ny.gov/chemical/29072.html" TargetMode="External"/><Relationship Id="rId109" Type="http://schemas.openxmlformats.org/officeDocument/2006/relationships/hyperlink" Target="http://www.chesapeakestormwater.net/storage/first-draft-baywide-design-specificationsi/BAYWIDE%20No%206%20RAIN%20TANKS%20AND%20CISTERNS.pdf" TargetMode="External"/><Relationship Id="rId34" Type="http://schemas.openxmlformats.org/officeDocument/2006/relationships/hyperlink" Target="http://www.dec.ny.gov/chemical/29072.html" TargetMode="External"/><Relationship Id="rId50" Type="http://schemas.openxmlformats.org/officeDocument/2006/relationships/hyperlink" Target="http://www.princegeorgescountymd.gov/der/bioretention.asp" TargetMode="External"/><Relationship Id="rId55" Type="http://schemas.openxmlformats.org/officeDocument/2006/relationships/hyperlink" Target="http://www.tredyffrin.org/pdf/publicworks/CH2%20-%20BMP2%20Vegetated%20Swale.pdf" TargetMode="External"/><Relationship Id="rId76" Type="http://schemas.openxmlformats.org/officeDocument/2006/relationships/hyperlink" Target="http://www.dec.ny.gov/chemical/29072.html" TargetMode="External"/><Relationship Id="rId97" Type="http://schemas.openxmlformats.org/officeDocument/2006/relationships/hyperlink" Target="http://www.dec.ny.gov/chemical/29072.html" TargetMode="External"/><Relationship Id="rId104" Type="http://schemas.openxmlformats.org/officeDocument/2006/relationships/hyperlink" Target="http://buildgreen.ufl.edu/Fact_%20sheet_Cisterns_Rain_Barrels.pdf" TargetMode="External"/><Relationship Id="rId120" Type="http://schemas.openxmlformats.org/officeDocument/2006/relationships/hyperlink" Target="http://cfpub.epa.gov/npdes/stormwater/menuofbmps/index.cfm?action=factsheet_results&amp;view=specific&amp;bmp=74" TargetMode="External"/><Relationship Id="rId125" Type="http://schemas.openxmlformats.org/officeDocument/2006/relationships/hyperlink" Target="http://www.elibrary.dep.state.pa.us/dsweb/View/Collection-8305" TargetMode="External"/><Relationship Id="rId141" Type="http://schemas.openxmlformats.org/officeDocument/2006/relationships/hyperlink" Target="http://www.nrdc.org/water/pollution/rooftops/contents.asp" TargetMode="External"/><Relationship Id="rId7" Type="http://schemas.openxmlformats.org/officeDocument/2006/relationships/hyperlink" Target="http://www.nrdc.org/water/pollution/rooftops/contents.asp" TargetMode="External"/><Relationship Id="rId71" Type="http://schemas.openxmlformats.org/officeDocument/2006/relationships/hyperlink" Target="http://www.dec.ny.gov/chemical/29072.html" TargetMode="External"/><Relationship Id="rId92" Type="http://schemas.openxmlformats.org/officeDocument/2006/relationships/hyperlink" Target="http://www.epa.gov/owow_keep/NPS/chesbay502/" TargetMode="External"/><Relationship Id="rId2" Type="http://schemas.openxmlformats.org/officeDocument/2006/relationships/hyperlink" Target="http://www.dec.ny.gov/chemical/29072.html" TargetMode="External"/><Relationship Id="rId29" Type="http://schemas.openxmlformats.org/officeDocument/2006/relationships/hyperlink" Target="http://www.dec.ny.gov/chemical/29072.html" TargetMode="External"/><Relationship Id="rId24" Type="http://schemas.openxmlformats.org/officeDocument/2006/relationships/hyperlink" Target="http://greenroofs.org/grtok/" TargetMode="External"/><Relationship Id="rId40" Type="http://schemas.openxmlformats.org/officeDocument/2006/relationships/hyperlink" Target="http://www.cnt.org/repository/GreenInfrastructureReportCivicFederation%2010-07.pdf" TargetMode="External"/><Relationship Id="rId45" Type="http://schemas.openxmlformats.org/officeDocument/2006/relationships/hyperlink" Target="http://dnr.wi.gov/org/water/wm/dsfm/shore/documents/rgmanual.pdf" TargetMode="External"/><Relationship Id="rId66" Type="http://schemas.openxmlformats.org/officeDocument/2006/relationships/hyperlink" Target="http://www.dec.ny.gov/chemical/29072.html" TargetMode="External"/><Relationship Id="rId87" Type="http://schemas.openxmlformats.org/officeDocument/2006/relationships/hyperlink" Target="http://www.unh.edu/erg/cstev/pubs_specs_info/unhsc_pa_spec_posted_06_09.pdf" TargetMode="External"/><Relationship Id="rId110" Type="http://schemas.openxmlformats.org/officeDocument/2006/relationships/hyperlink" Target="http://www.sustainindy.org/assets/uploads/4_03_CisternsandRainBarrels.pdf" TargetMode="External"/><Relationship Id="rId115" Type="http://schemas.openxmlformats.org/officeDocument/2006/relationships/hyperlink" Target="http://www.clermontstorm.net/wetland.pdf" TargetMode="External"/><Relationship Id="rId131" Type="http://schemas.openxmlformats.org/officeDocument/2006/relationships/hyperlink" Target="http://www.dec.ny.gov/chemical/29072.html" TargetMode="External"/><Relationship Id="rId136" Type="http://schemas.openxmlformats.org/officeDocument/2006/relationships/hyperlink" Target="http://cfpub.epa.gov/npdes/stormwater/menuofbmps/index.cfm?action=factsheet_results&amp;view=specific&amp;bmp=18" TargetMode="External"/><Relationship Id="rId61" Type="http://schemas.openxmlformats.org/officeDocument/2006/relationships/hyperlink" Target="http://www.nrdc.org/water/pollution/rooftops/contents.asp" TargetMode="External"/><Relationship Id="rId82" Type="http://schemas.openxmlformats.org/officeDocument/2006/relationships/hyperlink" Target="http://www.elibrary.dep.state.pa.us/dsweb/View/Collection-8305" TargetMode="External"/><Relationship Id="rId19" Type="http://schemas.openxmlformats.org/officeDocument/2006/relationships/hyperlink" Target="http://www.dec.ny.gov/chemical/29072.html" TargetMode="External"/><Relationship Id="rId14" Type="http://schemas.openxmlformats.org/officeDocument/2006/relationships/hyperlink" Target="http://www.epa.gov/nrmrl/pubs/600r09026/600r09026.pdf" TargetMode="External"/><Relationship Id="rId30" Type="http://schemas.openxmlformats.org/officeDocument/2006/relationships/hyperlink" Target="http://www.epa.gov/owow_keep/NPS/toolbox/other/cwc_raingardenbrochure.pdf" TargetMode="External"/><Relationship Id="rId35" Type="http://schemas.openxmlformats.org/officeDocument/2006/relationships/hyperlink" Target="http://www.epa.gov/owow_keep/NPS/toolbox/other/cwc_raingardenbrochure.pdf" TargetMode="External"/><Relationship Id="rId56" Type="http://schemas.openxmlformats.org/officeDocument/2006/relationships/hyperlink" Target="http://www.elibrary.dep.state.pa.us/dsweb/View/Collection-8305" TargetMode="External"/><Relationship Id="rId77" Type="http://schemas.openxmlformats.org/officeDocument/2006/relationships/hyperlink" Target="http://www.dec.ny.gov/chemical/29072.html" TargetMode="External"/><Relationship Id="rId100" Type="http://schemas.openxmlformats.org/officeDocument/2006/relationships/hyperlink" Target="http://www.metrocouncil.org/environment/watershed/BMP/CH3_STInfilOnLot.pdf" TargetMode="External"/><Relationship Id="rId105" Type="http://schemas.openxmlformats.org/officeDocument/2006/relationships/hyperlink" Target="http://www.resolv.org/fairfaxcountystormwater/homeowners/cistern_maintenance.pdf" TargetMode="External"/><Relationship Id="rId126" Type="http://schemas.openxmlformats.org/officeDocument/2006/relationships/hyperlink" Target="http://www.dec.ny.gov/chemical/29072.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sws.illinois.edu/pubdoc/B/ISWSB-71.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874F6-7C08-489E-8A86-B6EF3C8AC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37713</Words>
  <Characters>214966</Characters>
  <Application>Microsoft Office Word</Application>
  <DocSecurity>0</DocSecurity>
  <Lines>1791</Lines>
  <Paragraphs>504</Paragraphs>
  <ScaleCrop>false</ScaleCrop>
  <HeadingPairs>
    <vt:vector size="2" baseType="variant">
      <vt:variant>
        <vt:lpstr>Title</vt:lpstr>
      </vt:variant>
      <vt:variant>
        <vt:i4>1</vt:i4>
      </vt:variant>
    </vt:vector>
  </HeadingPairs>
  <TitlesOfParts>
    <vt:vector size="1" baseType="lpstr">
      <vt:lpstr>Green LTCP-EZ - Template</vt:lpstr>
    </vt:vector>
  </TitlesOfParts>
  <Company/>
  <LinksUpToDate>false</LinksUpToDate>
  <CharactersWithSpaces>252175</CharactersWithSpaces>
  <SharedDoc>false</SharedDoc>
  <HLinks>
    <vt:vector size="1710" baseType="variant">
      <vt:variant>
        <vt:i4>3276921</vt:i4>
      </vt:variant>
      <vt:variant>
        <vt:i4>721</vt:i4>
      </vt:variant>
      <vt:variant>
        <vt:i4>0</vt:i4>
      </vt:variant>
      <vt:variant>
        <vt:i4>5</vt:i4>
      </vt:variant>
      <vt:variant>
        <vt:lpwstr>http://www.lid-stormwater.net/</vt:lpwstr>
      </vt:variant>
      <vt:variant>
        <vt:lpwstr/>
      </vt:variant>
      <vt:variant>
        <vt:i4>3211323</vt:i4>
      </vt:variant>
      <vt:variant>
        <vt:i4>718</vt:i4>
      </vt:variant>
      <vt:variant>
        <vt:i4>0</vt:i4>
      </vt:variant>
      <vt:variant>
        <vt:i4>5</vt:i4>
      </vt:variant>
      <vt:variant>
        <vt:lpwstr>http://www.werf.org/livablecommunities/</vt:lpwstr>
      </vt:variant>
      <vt:variant>
        <vt:lpwstr/>
      </vt:variant>
      <vt:variant>
        <vt:i4>3473504</vt:i4>
      </vt:variant>
      <vt:variant>
        <vt:i4>715</vt:i4>
      </vt:variant>
      <vt:variant>
        <vt:i4>0</vt:i4>
      </vt:variant>
      <vt:variant>
        <vt:i4>5</vt:i4>
      </vt:variant>
      <vt:variant>
        <vt:lpwstr>http://www.bmpdatabase.org/</vt:lpwstr>
      </vt:variant>
      <vt:variant>
        <vt:lpwstr/>
      </vt:variant>
      <vt:variant>
        <vt:i4>5374046</vt:i4>
      </vt:variant>
      <vt:variant>
        <vt:i4>712</vt:i4>
      </vt:variant>
      <vt:variant>
        <vt:i4>0</vt:i4>
      </vt:variant>
      <vt:variant>
        <vt:i4>5</vt:i4>
      </vt:variant>
      <vt:variant>
        <vt:lpwstr>http://www.stormwatercenter.net/</vt:lpwstr>
      </vt:variant>
      <vt:variant>
        <vt:lpwstr/>
      </vt:variant>
      <vt:variant>
        <vt:i4>4128893</vt:i4>
      </vt:variant>
      <vt:variant>
        <vt:i4>709</vt:i4>
      </vt:variant>
      <vt:variant>
        <vt:i4>0</vt:i4>
      </vt:variant>
      <vt:variant>
        <vt:i4>5</vt:i4>
      </vt:variant>
      <vt:variant>
        <vt:lpwstr>http://greenvalues.cnt.org/</vt:lpwstr>
      </vt:variant>
      <vt:variant>
        <vt:lpwstr/>
      </vt:variant>
      <vt:variant>
        <vt:i4>65657</vt:i4>
      </vt:variant>
      <vt:variant>
        <vt:i4>706</vt:i4>
      </vt:variant>
      <vt:variant>
        <vt:i4>0</vt:i4>
      </vt:variant>
      <vt:variant>
        <vt:i4>5</vt:i4>
      </vt:variant>
      <vt:variant>
        <vt:lpwstr>http://cfpub.epa.gov/npdes/home.cfm?program_id=298</vt:lpwstr>
      </vt:variant>
      <vt:variant>
        <vt:lpwstr/>
      </vt:variant>
      <vt:variant>
        <vt:i4>5046297</vt:i4>
      </vt:variant>
      <vt:variant>
        <vt:i4>703</vt:i4>
      </vt:variant>
      <vt:variant>
        <vt:i4>0</vt:i4>
      </vt:variant>
      <vt:variant>
        <vt:i4>5</vt:i4>
      </vt:variant>
      <vt:variant>
        <vt:lpwstr>http://www.swrcb.ca.gov/rwqcb2/Agenda/07-16-03/07-16-03-fsheetattachments.doc</vt:lpwstr>
      </vt:variant>
      <vt:variant>
        <vt:lpwstr/>
      </vt:variant>
      <vt:variant>
        <vt:i4>6815855</vt:i4>
      </vt:variant>
      <vt:variant>
        <vt:i4>700</vt:i4>
      </vt:variant>
      <vt:variant>
        <vt:i4>0</vt:i4>
      </vt:variant>
      <vt:variant>
        <vt:i4>5</vt:i4>
      </vt:variant>
      <vt:variant>
        <vt:lpwstr>http://www.rougeriver.com/cso/overview.html</vt:lpwstr>
      </vt:variant>
      <vt:variant>
        <vt:lpwstr/>
      </vt:variant>
      <vt:variant>
        <vt:i4>1245236</vt:i4>
      </vt:variant>
      <vt:variant>
        <vt:i4>697</vt:i4>
      </vt:variant>
      <vt:variant>
        <vt:i4>0</vt:i4>
      </vt:variant>
      <vt:variant>
        <vt:i4>5</vt:i4>
      </vt:variant>
      <vt:variant>
        <vt:lpwstr>http://www.nap.edu/catalog.php?record_id=2049</vt:lpwstr>
      </vt:variant>
      <vt:variant>
        <vt:lpwstr>description</vt:lpwstr>
      </vt:variant>
      <vt:variant>
        <vt:i4>1245236</vt:i4>
      </vt:variant>
      <vt:variant>
        <vt:i4>694</vt:i4>
      </vt:variant>
      <vt:variant>
        <vt:i4>0</vt:i4>
      </vt:variant>
      <vt:variant>
        <vt:i4>5</vt:i4>
      </vt:variant>
      <vt:variant>
        <vt:lpwstr>http://www.nap.edu/catalog.php?record_id=2049</vt:lpwstr>
      </vt:variant>
      <vt:variant>
        <vt:lpwstr>description</vt:lpwstr>
      </vt:variant>
      <vt:variant>
        <vt:i4>5570570</vt:i4>
      </vt:variant>
      <vt:variant>
        <vt:i4>691</vt:i4>
      </vt:variant>
      <vt:variant>
        <vt:i4>0</vt:i4>
      </vt:variant>
      <vt:variant>
        <vt:i4>5</vt:i4>
      </vt:variant>
      <vt:variant>
        <vt:lpwstr>http://www.lake.onondaga.ny.us/olpdf/ol303ad.pdf</vt:lpwstr>
      </vt:variant>
      <vt:variant>
        <vt:lpwstr/>
      </vt:variant>
      <vt:variant>
        <vt:i4>4980819</vt:i4>
      </vt:variant>
      <vt:variant>
        <vt:i4>688</vt:i4>
      </vt:variant>
      <vt:variant>
        <vt:i4>0</vt:i4>
      </vt:variant>
      <vt:variant>
        <vt:i4>5</vt:i4>
      </vt:variant>
      <vt:variant>
        <vt:lpwstr>http://www.dcwasa.com/news/publications/Ops Minutes July 2004.pdf</vt:lpwstr>
      </vt:variant>
      <vt:variant>
        <vt:lpwstr/>
      </vt:variant>
      <vt:variant>
        <vt:i4>2949232</vt:i4>
      </vt:variant>
      <vt:variant>
        <vt:i4>685</vt:i4>
      </vt:variant>
      <vt:variant>
        <vt:i4>0</vt:i4>
      </vt:variant>
      <vt:variant>
        <vt:i4>5</vt:i4>
      </vt:variant>
      <vt:variant>
        <vt:lpwstr>http://books.nap.edu/books/0309048265/html/357.html</vt:lpwstr>
      </vt:variant>
      <vt:variant>
        <vt:lpwstr/>
      </vt:variant>
      <vt:variant>
        <vt:i4>1245234</vt:i4>
      </vt:variant>
      <vt:variant>
        <vt:i4>682</vt:i4>
      </vt:variant>
      <vt:variant>
        <vt:i4>0</vt:i4>
      </vt:variant>
      <vt:variant>
        <vt:i4>5</vt:i4>
      </vt:variant>
      <vt:variant>
        <vt:lpwstr>http://www.atlantaga.gov/client_resources/mayorsoffice/special reports-archive/csositev.pdf</vt:lpwstr>
      </vt:variant>
      <vt:variant>
        <vt:lpwstr/>
      </vt:variant>
      <vt:variant>
        <vt:i4>1245234</vt:i4>
      </vt:variant>
      <vt:variant>
        <vt:i4>679</vt:i4>
      </vt:variant>
      <vt:variant>
        <vt:i4>0</vt:i4>
      </vt:variant>
      <vt:variant>
        <vt:i4>5</vt:i4>
      </vt:variant>
      <vt:variant>
        <vt:lpwstr>http://www.atlantaga.gov/client_resources/mayorsoffice/special reports-archive/csositev.pdf</vt:lpwstr>
      </vt:variant>
      <vt:variant>
        <vt:lpwstr/>
      </vt:variant>
      <vt:variant>
        <vt:i4>4784128</vt:i4>
      </vt:variant>
      <vt:variant>
        <vt:i4>676</vt:i4>
      </vt:variant>
      <vt:variant>
        <vt:i4>0</vt:i4>
      </vt:variant>
      <vt:variant>
        <vt:i4>5</vt:i4>
      </vt:variant>
      <vt:variant>
        <vt:lpwstr>http://www.co.pierce.wa.us/xml/services/home/environ/planning/Appendix I.pdf</vt:lpwstr>
      </vt:variant>
      <vt:variant>
        <vt:lpwstr/>
      </vt:variant>
      <vt:variant>
        <vt:i4>3539065</vt:i4>
      </vt:variant>
      <vt:variant>
        <vt:i4>673</vt:i4>
      </vt:variant>
      <vt:variant>
        <vt:i4>0</vt:i4>
      </vt:variant>
      <vt:variant>
        <vt:i4>5</vt:i4>
      </vt:variant>
      <vt:variant>
        <vt:lpwstr>http://www.ncgreenbuilding.org/</vt:lpwstr>
      </vt:variant>
      <vt:variant>
        <vt:lpwstr/>
      </vt:variant>
      <vt:variant>
        <vt:i4>8323115</vt:i4>
      </vt:variant>
      <vt:variant>
        <vt:i4>670</vt:i4>
      </vt:variant>
      <vt:variant>
        <vt:i4>0</vt:i4>
      </vt:variant>
      <vt:variant>
        <vt:i4>5</vt:i4>
      </vt:variant>
      <vt:variant>
        <vt:lpwstr>http://www.nyc.gov/html/planyc2030/html/stormwater/stormwater.shtml</vt:lpwstr>
      </vt:variant>
      <vt:variant>
        <vt:lpwstr/>
      </vt:variant>
      <vt:variant>
        <vt:i4>2293863</vt:i4>
      </vt:variant>
      <vt:variant>
        <vt:i4>667</vt:i4>
      </vt:variant>
      <vt:variant>
        <vt:i4>0</vt:i4>
      </vt:variant>
      <vt:variant>
        <vt:i4>5</vt:i4>
      </vt:variant>
      <vt:variant>
        <vt:lpwstr>http://www.wetlandstudies.com/portals/4/docUpload/WSSI_LID_2007.pdf</vt:lpwstr>
      </vt:variant>
      <vt:variant>
        <vt:lpwstr/>
      </vt:variant>
      <vt:variant>
        <vt:i4>6094854</vt:i4>
      </vt:variant>
      <vt:variant>
        <vt:i4>664</vt:i4>
      </vt:variant>
      <vt:variant>
        <vt:i4>0</vt:i4>
      </vt:variant>
      <vt:variant>
        <vt:i4>5</vt:i4>
      </vt:variant>
      <vt:variant>
        <vt:lpwstr>http://www.lowimpactdevelopment.org/lid articles/bigbox_final_doc.pdf</vt:lpwstr>
      </vt:variant>
      <vt:variant>
        <vt:lpwstr/>
      </vt:variant>
      <vt:variant>
        <vt:i4>2687029</vt:i4>
      </vt:variant>
      <vt:variant>
        <vt:i4>661</vt:i4>
      </vt:variant>
      <vt:variant>
        <vt:i4>0</vt:i4>
      </vt:variant>
      <vt:variant>
        <vt:i4>5</vt:i4>
      </vt:variant>
      <vt:variant>
        <vt:lpwstr>http://www.cnt.org/natural-resources/demonstration-projects/olgh-case-study</vt:lpwstr>
      </vt:variant>
      <vt:variant>
        <vt:lpwstr/>
      </vt:variant>
      <vt:variant>
        <vt:i4>7929889</vt:i4>
      </vt:variant>
      <vt:variant>
        <vt:i4>658</vt:i4>
      </vt:variant>
      <vt:variant>
        <vt:i4>0</vt:i4>
      </vt:variant>
      <vt:variant>
        <vt:i4>5</vt:i4>
      </vt:variant>
      <vt:variant>
        <vt:lpwstr>http://www.cnt.org/natural-resources/demonstration-projects/st-margaret-mary-church-case-study</vt:lpwstr>
      </vt:variant>
      <vt:variant>
        <vt:lpwstr/>
      </vt:variant>
      <vt:variant>
        <vt:i4>2293863</vt:i4>
      </vt:variant>
      <vt:variant>
        <vt:i4>655</vt:i4>
      </vt:variant>
      <vt:variant>
        <vt:i4>0</vt:i4>
      </vt:variant>
      <vt:variant>
        <vt:i4>5</vt:i4>
      </vt:variant>
      <vt:variant>
        <vt:lpwstr>http://www.wetlandstudies.com/portals/4/docUpload/WSSI_LID_2007.pdf</vt:lpwstr>
      </vt:variant>
      <vt:variant>
        <vt:lpwstr/>
      </vt:variant>
      <vt:variant>
        <vt:i4>7340068</vt:i4>
      </vt:variant>
      <vt:variant>
        <vt:i4>652</vt:i4>
      </vt:variant>
      <vt:variant>
        <vt:i4>0</vt:i4>
      </vt:variant>
      <vt:variant>
        <vt:i4>5</vt:i4>
      </vt:variant>
      <vt:variant>
        <vt:lpwstr>http://www.greenroofs.org/index.php</vt:lpwstr>
      </vt:variant>
      <vt:variant>
        <vt:lpwstr/>
      </vt:variant>
      <vt:variant>
        <vt:i4>65584</vt:i4>
      </vt:variant>
      <vt:variant>
        <vt:i4>649</vt:i4>
      </vt:variant>
      <vt:variant>
        <vt:i4>0</vt:i4>
      </vt:variant>
      <vt:variant>
        <vt:i4>5</vt:i4>
      </vt:variant>
      <vt:variant>
        <vt:lpwstr>http://www.lid-stormwater.net/greenroofs_cost.htm</vt:lpwstr>
      </vt:variant>
      <vt:variant>
        <vt:lpwstr/>
      </vt:variant>
      <vt:variant>
        <vt:i4>7274528</vt:i4>
      </vt:variant>
      <vt:variant>
        <vt:i4>640</vt:i4>
      </vt:variant>
      <vt:variant>
        <vt:i4>0</vt:i4>
      </vt:variant>
      <vt:variant>
        <vt:i4>5</vt:i4>
      </vt:variant>
      <vt:variant>
        <vt:lpwstr>http://en.wikipedia.org/wiki/Meltwater</vt:lpwstr>
      </vt:variant>
      <vt:variant>
        <vt:lpwstr/>
      </vt:variant>
      <vt:variant>
        <vt:i4>262228</vt:i4>
      </vt:variant>
      <vt:variant>
        <vt:i4>637</vt:i4>
      </vt:variant>
      <vt:variant>
        <vt:i4>0</vt:i4>
      </vt:variant>
      <vt:variant>
        <vt:i4>5</vt:i4>
      </vt:variant>
      <vt:variant>
        <vt:lpwstr>http://en.wikipedia.org/wiki/Rain</vt:lpwstr>
      </vt:variant>
      <vt:variant>
        <vt:lpwstr/>
      </vt:variant>
      <vt:variant>
        <vt:i4>3145844</vt:i4>
      </vt:variant>
      <vt:variant>
        <vt:i4>634</vt:i4>
      </vt:variant>
      <vt:variant>
        <vt:i4>0</vt:i4>
      </vt:variant>
      <vt:variant>
        <vt:i4>5</vt:i4>
      </vt:variant>
      <vt:variant>
        <vt:lpwstr>http://www.epa.gov/npdes/pubs/sewer.pdf</vt:lpwstr>
      </vt:variant>
      <vt:variant>
        <vt:lpwstr/>
      </vt:variant>
      <vt:variant>
        <vt:i4>2424941</vt:i4>
      </vt:variant>
      <vt:variant>
        <vt:i4>631</vt:i4>
      </vt:variant>
      <vt:variant>
        <vt:i4>0</vt:i4>
      </vt:variant>
      <vt:variant>
        <vt:i4>5</vt:i4>
      </vt:variant>
      <vt:variant>
        <vt:lpwstr>http://www.epa.gov/npdes/pubs/csofc.pdf</vt:lpwstr>
      </vt:variant>
      <vt:variant>
        <vt:lpwstr/>
      </vt:variant>
      <vt:variant>
        <vt:i4>4456448</vt:i4>
      </vt:variant>
      <vt:variant>
        <vt:i4>628</vt:i4>
      </vt:variant>
      <vt:variant>
        <vt:i4>0</vt:i4>
      </vt:variant>
      <vt:variant>
        <vt:i4>5</vt:i4>
      </vt:variant>
      <vt:variant>
        <vt:lpwstr>http://www.epa.gov/npdes/pubs/owm0030.pdf</vt:lpwstr>
      </vt:variant>
      <vt:variant>
        <vt:lpwstr/>
      </vt:variant>
      <vt:variant>
        <vt:i4>4587520</vt:i4>
      </vt:variant>
      <vt:variant>
        <vt:i4>625</vt:i4>
      </vt:variant>
      <vt:variant>
        <vt:i4>0</vt:i4>
      </vt:variant>
      <vt:variant>
        <vt:i4>5</vt:i4>
      </vt:variant>
      <vt:variant>
        <vt:lpwstr>http://www.epa.gov/npdes/pubs/owm0111.pdf</vt:lpwstr>
      </vt:variant>
      <vt:variant>
        <vt:lpwstr/>
      </vt:variant>
      <vt:variant>
        <vt:i4>6619174</vt:i4>
      </vt:variant>
      <vt:variant>
        <vt:i4>622</vt:i4>
      </vt:variant>
      <vt:variant>
        <vt:i4>0</vt:i4>
      </vt:variant>
      <vt:variant>
        <vt:i4>5</vt:i4>
      </vt:variant>
      <vt:variant>
        <vt:lpwstr>http://www.isws.illinois.edu/pubdoc/B/ISWSB-71.pdf</vt:lpwstr>
      </vt:variant>
      <vt:variant>
        <vt:lpwstr/>
      </vt:variant>
      <vt:variant>
        <vt:i4>4587606</vt:i4>
      </vt:variant>
      <vt:variant>
        <vt:i4>604</vt:i4>
      </vt:variant>
      <vt:variant>
        <vt:i4>0</vt:i4>
      </vt:variant>
      <vt:variant>
        <vt:i4>5</vt:i4>
      </vt:variant>
      <vt:variant>
        <vt:lpwstr>http://factfinder.census.gov/_x000b_home/saff/main.html?_lang=en</vt:lpwstr>
      </vt:variant>
      <vt:variant>
        <vt:lpwstr/>
      </vt:variant>
      <vt:variant>
        <vt:i4>8323090</vt:i4>
      </vt:variant>
      <vt:variant>
        <vt:i4>601</vt:i4>
      </vt:variant>
      <vt:variant>
        <vt:i4>0</vt:i4>
      </vt:variant>
      <vt:variant>
        <vt:i4>5</vt:i4>
      </vt:variant>
      <vt:variant>
        <vt:lpwstr>http://www.epa.gov/npdes/pubs/csossoRTC2004_AppendixL.pdf</vt:lpwstr>
      </vt:variant>
      <vt:variant>
        <vt:lpwstr/>
      </vt:variant>
      <vt:variant>
        <vt:i4>115</vt:i4>
      </vt:variant>
      <vt:variant>
        <vt:i4>598</vt:i4>
      </vt:variant>
      <vt:variant>
        <vt:i4>0</vt:i4>
      </vt:variant>
      <vt:variant>
        <vt:i4>5</vt:i4>
      </vt:variant>
      <vt:variant>
        <vt:lpwstr>http://www.wilmingtoncso.com/CSO_home.htm</vt:lpwstr>
      </vt:variant>
      <vt:variant>
        <vt:lpwstr/>
      </vt:variant>
      <vt:variant>
        <vt:i4>3145793</vt:i4>
      </vt:variant>
      <vt:variant>
        <vt:i4>595</vt:i4>
      </vt:variant>
      <vt:variant>
        <vt:i4>0</vt:i4>
      </vt:variant>
      <vt:variant>
        <vt:i4>5</vt:i4>
      </vt:variant>
      <vt:variant>
        <vt:lpwstr>http://www.ci.st-joseph.mo.us/publicworks/wpc_cso.asp</vt:lpwstr>
      </vt:variant>
      <vt:variant>
        <vt:lpwstr/>
      </vt:variant>
      <vt:variant>
        <vt:i4>3014724</vt:i4>
      </vt:variant>
      <vt:variant>
        <vt:i4>590</vt:i4>
      </vt:variant>
      <vt:variant>
        <vt:i4>0</vt:i4>
      </vt:variant>
      <vt:variant>
        <vt:i4>5</vt:i4>
      </vt:variant>
      <vt:variant>
        <vt:lpwstr>http://www.epa.gov/owow/_x000b_tmdl/</vt:lpwstr>
      </vt:variant>
      <vt:variant>
        <vt:lpwstr/>
      </vt:variant>
      <vt:variant>
        <vt:i4>4325441</vt:i4>
      </vt:variant>
      <vt:variant>
        <vt:i4>587</vt:i4>
      </vt:variant>
      <vt:variant>
        <vt:i4>0</vt:i4>
      </vt:variant>
      <vt:variant>
        <vt:i4>5</vt:i4>
      </vt:variant>
      <vt:variant>
        <vt:lpwstr>http://www.epa.gov/waters/305b/index.html</vt:lpwstr>
      </vt:variant>
      <vt:variant>
        <vt:lpwstr/>
      </vt:variant>
      <vt:variant>
        <vt:i4>7012476</vt:i4>
      </vt:variant>
      <vt:variant>
        <vt:i4>584</vt:i4>
      </vt:variant>
      <vt:variant>
        <vt:i4>0</vt:i4>
      </vt:variant>
      <vt:variant>
        <vt:i4>5</vt:i4>
      </vt:variant>
      <vt:variant>
        <vt:lpwstr>http://www.fws.gov/endangered/wildlife.html</vt:lpwstr>
      </vt:variant>
      <vt:variant>
        <vt:lpwstr/>
      </vt:variant>
      <vt:variant>
        <vt:i4>5767256</vt:i4>
      </vt:variant>
      <vt:variant>
        <vt:i4>581</vt:i4>
      </vt:variant>
      <vt:variant>
        <vt:i4>0</vt:i4>
      </vt:variant>
      <vt:variant>
        <vt:i4>5</vt:i4>
      </vt:variant>
      <vt:variant>
        <vt:lpwstr>http://sanctuaries.noaa.gov/</vt:lpwstr>
      </vt:variant>
      <vt:variant>
        <vt:lpwstr/>
      </vt:variant>
      <vt:variant>
        <vt:i4>2818173</vt:i4>
      </vt:variant>
      <vt:variant>
        <vt:i4>578</vt:i4>
      </vt:variant>
      <vt:variant>
        <vt:i4>0</vt:i4>
      </vt:variant>
      <vt:variant>
        <vt:i4>5</vt:i4>
      </vt:variant>
      <vt:variant>
        <vt:lpwstr>http://www.bls.gov/</vt:lpwstr>
      </vt:variant>
      <vt:variant>
        <vt:lpwstr/>
      </vt:variant>
      <vt:variant>
        <vt:i4>3407909</vt:i4>
      </vt:variant>
      <vt:variant>
        <vt:i4>575</vt:i4>
      </vt:variant>
      <vt:variant>
        <vt:i4>0</vt:i4>
      </vt:variant>
      <vt:variant>
        <vt:i4>5</vt:i4>
      </vt:variant>
      <vt:variant>
        <vt:lpwstr>http://data.bls.gov/pdq/querytool.jsp?survey=la</vt:lpwstr>
      </vt:variant>
      <vt:variant>
        <vt:lpwstr/>
      </vt:variant>
      <vt:variant>
        <vt:i4>3407909</vt:i4>
      </vt:variant>
      <vt:variant>
        <vt:i4>572</vt:i4>
      </vt:variant>
      <vt:variant>
        <vt:i4>0</vt:i4>
      </vt:variant>
      <vt:variant>
        <vt:i4>5</vt:i4>
      </vt:variant>
      <vt:variant>
        <vt:lpwstr>http://data.bls.gov/pdq/querytool.jsp?survey=la</vt:lpwstr>
      </vt:variant>
      <vt:variant>
        <vt:lpwstr/>
      </vt:variant>
      <vt:variant>
        <vt:i4>7078000</vt:i4>
      </vt:variant>
      <vt:variant>
        <vt:i4>569</vt:i4>
      </vt:variant>
      <vt:variant>
        <vt:i4>0</vt:i4>
      </vt:variant>
      <vt:variant>
        <vt:i4>5</vt:i4>
      </vt:variant>
      <vt:variant>
        <vt:lpwstr>http://quickfacts.census.gov/qfd/states/00000.html</vt:lpwstr>
      </vt:variant>
      <vt:variant>
        <vt:lpwstr/>
      </vt:variant>
      <vt:variant>
        <vt:i4>3997732</vt:i4>
      </vt:variant>
      <vt:variant>
        <vt:i4>566</vt:i4>
      </vt:variant>
      <vt:variant>
        <vt:i4>0</vt:i4>
      </vt:variant>
      <vt:variant>
        <vt:i4>5</vt:i4>
      </vt:variant>
      <vt:variant>
        <vt:lpwstr>http://www.census.gov/</vt:lpwstr>
      </vt:variant>
      <vt:variant>
        <vt:lpwstr/>
      </vt:variant>
      <vt:variant>
        <vt:i4>7471207</vt:i4>
      </vt:variant>
      <vt:variant>
        <vt:i4>563</vt:i4>
      </vt:variant>
      <vt:variant>
        <vt:i4>0</vt:i4>
      </vt:variant>
      <vt:variant>
        <vt:i4>5</vt:i4>
      </vt:variant>
      <vt:variant>
        <vt:lpwstr>http://quickfacts.census.gov/qfd/index.html</vt:lpwstr>
      </vt:variant>
      <vt:variant>
        <vt:lpwstr/>
      </vt:variant>
      <vt:variant>
        <vt:i4>1179648</vt:i4>
      </vt:variant>
      <vt:variant>
        <vt:i4>560</vt:i4>
      </vt:variant>
      <vt:variant>
        <vt:i4>0</vt:i4>
      </vt:variant>
      <vt:variant>
        <vt:i4>5</vt:i4>
      </vt:variant>
      <vt:variant>
        <vt:lpwstr>http://www.nmfs.noaa.gov/</vt:lpwstr>
      </vt:variant>
      <vt:variant>
        <vt:lpwstr/>
      </vt:variant>
      <vt:variant>
        <vt:i4>1310763</vt:i4>
      </vt:variant>
      <vt:variant>
        <vt:i4>557</vt:i4>
      </vt:variant>
      <vt:variant>
        <vt:i4>0</vt:i4>
      </vt:variant>
      <vt:variant>
        <vt:i4>5</vt:i4>
      </vt:variant>
      <vt:variant>
        <vt:lpwstr>http://ecos.fws.gov/tess_public/StartTESS.do</vt:lpwstr>
      </vt:variant>
      <vt:variant>
        <vt:lpwstr/>
      </vt:variant>
      <vt:variant>
        <vt:i4>4063296</vt:i4>
      </vt:variant>
      <vt:variant>
        <vt:i4>554</vt:i4>
      </vt:variant>
      <vt:variant>
        <vt:i4>0</vt:i4>
      </vt:variant>
      <vt:variant>
        <vt:i4>5</vt:i4>
      </vt:variant>
      <vt:variant>
        <vt:lpwstr>http://cfpub.epa.gov/npdes/home.cfm?program_id=5</vt:lpwstr>
      </vt:variant>
      <vt:variant>
        <vt:lpwstr/>
      </vt:variant>
      <vt:variant>
        <vt:i4>4915207</vt:i4>
      </vt:variant>
      <vt:variant>
        <vt:i4>549</vt:i4>
      </vt:variant>
      <vt:variant>
        <vt:i4>0</vt:i4>
      </vt:variant>
      <vt:variant>
        <vt:i4>5</vt:i4>
      </vt:variant>
      <vt:variant>
        <vt:lpwstr>http://www.epa.gov/npdes/cso</vt:lpwstr>
      </vt:variant>
      <vt:variant>
        <vt:lpwstr/>
      </vt:variant>
      <vt:variant>
        <vt:i4>1966128</vt:i4>
      </vt:variant>
      <vt:variant>
        <vt:i4>542</vt:i4>
      </vt:variant>
      <vt:variant>
        <vt:i4>0</vt:i4>
      </vt:variant>
      <vt:variant>
        <vt:i4>5</vt:i4>
      </vt:variant>
      <vt:variant>
        <vt:lpwstr/>
      </vt:variant>
      <vt:variant>
        <vt:lpwstr>_Toc285015645</vt:lpwstr>
      </vt:variant>
      <vt:variant>
        <vt:i4>1966128</vt:i4>
      </vt:variant>
      <vt:variant>
        <vt:i4>536</vt:i4>
      </vt:variant>
      <vt:variant>
        <vt:i4>0</vt:i4>
      </vt:variant>
      <vt:variant>
        <vt:i4>5</vt:i4>
      </vt:variant>
      <vt:variant>
        <vt:lpwstr/>
      </vt:variant>
      <vt:variant>
        <vt:lpwstr>_Toc285015644</vt:lpwstr>
      </vt:variant>
      <vt:variant>
        <vt:i4>1966128</vt:i4>
      </vt:variant>
      <vt:variant>
        <vt:i4>530</vt:i4>
      </vt:variant>
      <vt:variant>
        <vt:i4>0</vt:i4>
      </vt:variant>
      <vt:variant>
        <vt:i4>5</vt:i4>
      </vt:variant>
      <vt:variant>
        <vt:lpwstr/>
      </vt:variant>
      <vt:variant>
        <vt:lpwstr>_Toc285015643</vt:lpwstr>
      </vt:variant>
      <vt:variant>
        <vt:i4>1966128</vt:i4>
      </vt:variant>
      <vt:variant>
        <vt:i4>524</vt:i4>
      </vt:variant>
      <vt:variant>
        <vt:i4>0</vt:i4>
      </vt:variant>
      <vt:variant>
        <vt:i4>5</vt:i4>
      </vt:variant>
      <vt:variant>
        <vt:lpwstr/>
      </vt:variant>
      <vt:variant>
        <vt:lpwstr>_Toc285015642</vt:lpwstr>
      </vt:variant>
      <vt:variant>
        <vt:i4>1966128</vt:i4>
      </vt:variant>
      <vt:variant>
        <vt:i4>518</vt:i4>
      </vt:variant>
      <vt:variant>
        <vt:i4>0</vt:i4>
      </vt:variant>
      <vt:variant>
        <vt:i4>5</vt:i4>
      </vt:variant>
      <vt:variant>
        <vt:lpwstr/>
      </vt:variant>
      <vt:variant>
        <vt:lpwstr>_Toc285015641</vt:lpwstr>
      </vt:variant>
      <vt:variant>
        <vt:i4>1966128</vt:i4>
      </vt:variant>
      <vt:variant>
        <vt:i4>512</vt:i4>
      </vt:variant>
      <vt:variant>
        <vt:i4>0</vt:i4>
      </vt:variant>
      <vt:variant>
        <vt:i4>5</vt:i4>
      </vt:variant>
      <vt:variant>
        <vt:lpwstr/>
      </vt:variant>
      <vt:variant>
        <vt:lpwstr>_Toc285015640</vt:lpwstr>
      </vt:variant>
      <vt:variant>
        <vt:i4>1638448</vt:i4>
      </vt:variant>
      <vt:variant>
        <vt:i4>506</vt:i4>
      </vt:variant>
      <vt:variant>
        <vt:i4>0</vt:i4>
      </vt:variant>
      <vt:variant>
        <vt:i4>5</vt:i4>
      </vt:variant>
      <vt:variant>
        <vt:lpwstr/>
      </vt:variant>
      <vt:variant>
        <vt:lpwstr>_Toc285015639</vt:lpwstr>
      </vt:variant>
      <vt:variant>
        <vt:i4>1638448</vt:i4>
      </vt:variant>
      <vt:variant>
        <vt:i4>500</vt:i4>
      </vt:variant>
      <vt:variant>
        <vt:i4>0</vt:i4>
      </vt:variant>
      <vt:variant>
        <vt:i4>5</vt:i4>
      </vt:variant>
      <vt:variant>
        <vt:lpwstr/>
      </vt:variant>
      <vt:variant>
        <vt:lpwstr>_Toc285015638</vt:lpwstr>
      </vt:variant>
      <vt:variant>
        <vt:i4>1638448</vt:i4>
      </vt:variant>
      <vt:variant>
        <vt:i4>494</vt:i4>
      </vt:variant>
      <vt:variant>
        <vt:i4>0</vt:i4>
      </vt:variant>
      <vt:variant>
        <vt:i4>5</vt:i4>
      </vt:variant>
      <vt:variant>
        <vt:lpwstr/>
      </vt:variant>
      <vt:variant>
        <vt:lpwstr>_Toc285015637</vt:lpwstr>
      </vt:variant>
      <vt:variant>
        <vt:i4>1638448</vt:i4>
      </vt:variant>
      <vt:variant>
        <vt:i4>488</vt:i4>
      </vt:variant>
      <vt:variant>
        <vt:i4>0</vt:i4>
      </vt:variant>
      <vt:variant>
        <vt:i4>5</vt:i4>
      </vt:variant>
      <vt:variant>
        <vt:lpwstr/>
      </vt:variant>
      <vt:variant>
        <vt:lpwstr>_Toc285015636</vt:lpwstr>
      </vt:variant>
      <vt:variant>
        <vt:i4>1638448</vt:i4>
      </vt:variant>
      <vt:variant>
        <vt:i4>482</vt:i4>
      </vt:variant>
      <vt:variant>
        <vt:i4>0</vt:i4>
      </vt:variant>
      <vt:variant>
        <vt:i4>5</vt:i4>
      </vt:variant>
      <vt:variant>
        <vt:lpwstr/>
      </vt:variant>
      <vt:variant>
        <vt:lpwstr>_Toc285015635</vt:lpwstr>
      </vt:variant>
      <vt:variant>
        <vt:i4>1638448</vt:i4>
      </vt:variant>
      <vt:variant>
        <vt:i4>476</vt:i4>
      </vt:variant>
      <vt:variant>
        <vt:i4>0</vt:i4>
      </vt:variant>
      <vt:variant>
        <vt:i4>5</vt:i4>
      </vt:variant>
      <vt:variant>
        <vt:lpwstr/>
      </vt:variant>
      <vt:variant>
        <vt:lpwstr>_Toc285015634</vt:lpwstr>
      </vt:variant>
      <vt:variant>
        <vt:i4>1638448</vt:i4>
      </vt:variant>
      <vt:variant>
        <vt:i4>470</vt:i4>
      </vt:variant>
      <vt:variant>
        <vt:i4>0</vt:i4>
      </vt:variant>
      <vt:variant>
        <vt:i4>5</vt:i4>
      </vt:variant>
      <vt:variant>
        <vt:lpwstr/>
      </vt:variant>
      <vt:variant>
        <vt:lpwstr>_Toc285015633</vt:lpwstr>
      </vt:variant>
      <vt:variant>
        <vt:i4>1638448</vt:i4>
      </vt:variant>
      <vt:variant>
        <vt:i4>464</vt:i4>
      </vt:variant>
      <vt:variant>
        <vt:i4>0</vt:i4>
      </vt:variant>
      <vt:variant>
        <vt:i4>5</vt:i4>
      </vt:variant>
      <vt:variant>
        <vt:lpwstr/>
      </vt:variant>
      <vt:variant>
        <vt:lpwstr>_Toc285015632</vt:lpwstr>
      </vt:variant>
      <vt:variant>
        <vt:i4>1638448</vt:i4>
      </vt:variant>
      <vt:variant>
        <vt:i4>458</vt:i4>
      </vt:variant>
      <vt:variant>
        <vt:i4>0</vt:i4>
      </vt:variant>
      <vt:variant>
        <vt:i4>5</vt:i4>
      </vt:variant>
      <vt:variant>
        <vt:lpwstr/>
      </vt:variant>
      <vt:variant>
        <vt:lpwstr>_Toc285015631</vt:lpwstr>
      </vt:variant>
      <vt:variant>
        <vt:i4>1638448</vt:i4>
      </vt:variant>
      <vt:variant>
        <vt:i4>452</vt:i4>
      </vt:variant>
      <vt:variant>
        <vt:i4>0</vt:i4>
      </vt:variant>
      <vt:variant>
        <vt:i4>5</vt:i4>
      </vt:variant>
      <vt:variant>
        <vt:lpwstr/>
      </vt:variant>
      <vt:variant>
        <vt:lpwstr>_Toc285015630</vt:lpwstr>
      </vt:variant>
      <vt:variant>
        <vt:i4>1572912</vt:i4>
      </vt:variant>
      <vt:variant>
        <vt:i4>446</vt:i4>
      </vt:variant>
      <vt:variant>
        <vt:i4>0</vt:i4>
      </vt:variant>
      <vt:variant>
        <vt:i4>5</vt:i4>
      </vt:variant>
      <vt:variant>
        <vt:lpwstr/>
      </vt:variant>
      <vt:variant>
        <vt:lpwstr>_Toc285015629</vt:lpwstr>
      </vt:variant>
      <vt:variant>
        <vt:i4>1572912</vt:i4>
      </vt:variant>
      <vt:variant>
        <vt:i4>440</vt:i4>
      </vt:variant>
      <vt:variant>
        <vt:i4>0</vt:i4>
      </vt:variant>
      <vt:variant>
        <vt:i4>5</vt:i4>
      </vt:variant>
      <vt:variant>
        <vt:lpwstr/>
      </vt:variant>
      <vt:variant>
        <vt:lpwstr>_Toc285015628</vt:lpwstr>
      </vt:variant>
      <vt:variant>
        <vt:i4>1572912</vt:i4>
      </vt:variant>
      <vt:variant>
        <vt:i4>434</vt:i4>
      </vt:variant>
      <vt:variant>
        <vt:i4>0</vt:i4>
      </vt:variant>
      <vt:variant>
        <vt:i4>5</vt:i4>
      </vt:variant>
      <vt:variant>
        <vt:lpwstr/>
      </vt:variant>
      <vt:variant>
        <vt:lpwstr>_Toc285015627</vt:lpwstr>
      </vt:variant>
      <vt:variant>
        <vt:i4>1572912</vt:i4>
      </vt:variant>
      <vt:variant>
        <vt:i4>428</vt:i4>
      </vt:variant>
      <vt:variant>
        <vt:i4>0</vt:i4>
      </vt:variant>
      <vt:variant>
        <vt:i4>5</vt:i4>
      </vt:variant>
      <vt:variant>
        <vt:lpwstr/>
      </vt:variant>
      <vt:variant>
        <vt:lpwstr>_Toc285015626</vt:lpwstr>
      </vt:variant>
      <vt:variant>
        <vt:i4>1572912</vt:i4>
      </vt:variant>
      <vt:variant>
        <vt:i4>422</vt:i4>
      </vt:variant>
      <vt:variant>
        <vt:i4>0</vt:i4>
      </vt:variant>
      <vt:variant>
        <vt:i4>5</vt:i4>
      </vt:variant>
      <vt:variant>
        <vt:lpwstr/>
      </vt:variant>
      <vt:variant>
        <vt:lpwstr>_Toc285015625</vt:lpwstr>
      </vt:variant>
      <vt:variant>
        <vt:i4>1572912</vt:i4>
      </vt:variant>
      <vt:variant>
        <vt:i4>416</vt:i4>
      </vt:variant>
      <vt:variant>
        <vt:i4>0</vt:i4>
      </vt:variant>
      <vt:variant>
        <vt:i4>5</vt:i4>
      </vt:variant>
      <vt:variant>
        <vt:lpwstr/>
      </vt:variant>
      <vt:variant>
        <vt:lpwstr>_Toc285015624</vt:lpwstr>
      </vt:variant>
      <vt:variant>
        <vt:i4>1572912</vt:i4>
      </vt:variant>
      <vt:variant>
        <vt:i4>410</vt:i4>
      </vt:variant>
      <vt:variant>
        <vt:i4>0</vt:i4>
      </vt:variant>
      <vt:variant>
        <vt:i4>5</vt:i4>
      </vt:variant>
      <vt:variant>
        <vt:lpwstr/>
      </vt:variant>
      <vt:variant>
        <vt:lpwstr>_Toc285015623</vt:lpwstr>
      </vt:variant>
      <vt:variant>
        <vt:i4>1572912</vt:i4>
      </vt:variant>
      <vt:variant>
        <vt:i4>404</vt:i4>
      </vt:variant>
      <vt:variant>
        <vt:i4>0</vt:i4>
      </vt:variant>
      <vt:variant>
        <vt:i4>5</vt:i4>
      </vt:variant>
      <vt:variant>
        <vt:lpwstr/>
      </vt:variant>
      <vt:variant>
        <vt:lpwstr>_Toc285015622</vt:lpwstr>
      </vt:variant>
      <vt:variant>
        <vt:i4>1572912</vt:i4>
      </vt:variant>
      <vt:variant>
        <vt:i4>398</vt:i4>
      </vt:variant>
      <vt:variant>
        <vt:i4>0</vt:i4>
      </vt:variant>
      <vt:variant>
        <vt:i4>5</vt:i4>
      </vt:variant>
      <vt:variant>
        <vt:lpwstr/>
      </vt:variant>
      <vt:variant>
        <vt:lpwstr>_Toc285015621</vt:lpwstr>
      </vt:variant>
      <vt:variant>
        <vt:i4>1572912</vt:i4>
      </vt:variant>
      <vt:variant>
        <vt:i4>392</vt:i4>
      </vt:variant>
      <vt:variant>
        <vt:i4>0</vt:i4>
      </vt:variant>
      <vt:variant>
        <vt:i4>5</vt:i4>
      </vt:variant>
      <vt:variant>
        <vt:lpwstr/>
      </vt:variant>
      <vt:variant>
        <vt:lpwstr>_Toc285015620</vt:lpwstr>
      </vt:variant>
      <vt:variant>
        <vt:i4>1769520</vt:i4>
      </vt:variant>
      <vt:variant>
        <vt:i4>386</vt:i4>
      </vt:variant>
      <vt:variant>
        <vt:i4>0</vt:i4>
      </vt:variant>
      <vt:variant>
        <vt:i4>5</vt:i4>
      </vt:variant>
      <vt:variant>
        <vt:lpwstr/>
      </vt:variant>
      <vt:variant>
        <vt:lpwstr>_Toc285015619</vt:lpwstr>
      </vt:variant>
      <vt:variant>
        <vt:i4>1769520</vt:i4>
      </vt:variant>
      <vt:variant>
        <vt:i4>380</vt:i4>
      </vt:variant>
      <vt:variant>
        <vt:i4>0</vt:i4>
      </vt:variant>
      <vt:variant>
        <vt:i4>5</vt:i4>
      </vt:variant>
      <vt:variant>
        <vt:lpwstr/>
      </vt:variant>
      <vt:variant>
        <vt:lpwstr>_Toc285015618</vt:lpwstr>
      </vt:variant>
      <vt:variant>
        <vt:i4>1769520</vt:i4>
      </vt:variant>
      <vt:variant>
        <vt:i4>374</vt:i4>
      </vt:variant>
      <vt:variant>
        <vt:i4>0</vt:i4>
      </vt:variant>
      <vt:variant>
        <vt:i4>5</vt:i4>
      </vt:variant>
      <vt:variant>
        <vt:lpwstr/>
      </vt:variant>
      <vt:variant>
        <vt:lpwstr>_Toc285015617</vt:lpwstr>
      </vt:variant>
      <vt:variant>
        <vt:i4>1769520</vt:i4>
      </vt:variant>
      <vt:variant>
        <vt:i4>368</vt:i4>
      </vt:variant>
      <vt:variant>
        <vt:i4>0</vt:i4>
      </vt:variant>
      <vt:variant>
        <vt:i4>5</vt:i4>
      </vt:variant>
      <vt:variant>
        <vt:lpwstr/>
      </vt:variant>
      <vt:variant>
        <vt:lpwstr>_Toc285015616</vt:lpwstr>
      </vt:variant>
      <vt:variant>
        <vt:i4>1769520</vt:i4>
      </vt:variant>
      <vt:variant>
        <vt:i4>362</vt:i4>
      </vt:variant>
      <vt:variant>
        <vt:i4>0</vt:i4>
      </vt:variant>
      <vt:variant>
        <vt:i4>5</vt:i4>
      </vt:variant>
      <vt:variant>
        <vt:lpwstr/>
      </vt:variant>
      <vt:variant>
        <vt:lpwstr>_Toc285015615</vt:lpwstr>
      </vt:variant>
      <vt:variant>
        <vt:i4>1769520</vt:i4>
      </vt:variant>
      <vt:variant>
        <vt:i4>356</vt:i4>
      </vt:variant>
      <vt:variant>
        <vt:i4>0</vt:i4>
      </vt:variant>
      <vt:variant>
        <vt:i4>5</vt:i4>
      </vt:variant>
      <vt:variant>
        <vt:lpwstr/>
      </vt:variant>
      <vt:variant>
        <vt:lpwstr>_Toc285015614</vt:lpwstr>
      </vt:variant>
      <vt:variant>
        <vt:i4>1769520</vt:i4>
      </vt:variant>
      <vt:variant>
        <vt:i4>350</vt:i4>
      </vt:variant>
      <vt:variant>
        <vt:i4>0</vt:i4>
      </vt:variant>
      <vt:variant>
        <vt:i4>5</vt:i4>
      </vt:variant>
      <vt:variant>
        <vt:lpwstr/>
      </vt:variant>
      <vt:variant>
        <vt:lpwstr>_Toc285015613</vt:lpwstr>
      </vt:variant>
      <vt:variant>
        <vt:i4>1769520</vt:i4>
      </vt:variant>
      <vt:variant>
        <vt:i4>344</vt:i4>
      </vt:variant>
      <vt:variant>
        <vt:i4>0</vt:i4>
      </vt:variant>
      <vt:variant>
        <vt:i4>5</vt:i4>
      </vt:variant>
      <vt:variant>
        <vt:lpwstr/>
      </vt:variant>
      <vt:variant>
        <vt:lpwstr>_Toc285015612</vt:lpwstr>
      </vt:variant>
      <vt:variant>
        <vt:i4>1769520</vt:i4>
      </vt:variant>
      <vt:variant>
        <vt:i4>338</vt:i4>
      </vt:variant>
      <vt:variant>
        <vt:i4>0</vt:i4>
      </vt:variant>
      <vt:variant>
        <vt:i4>5</vt:i4>
      </vt:variant>
      <vt:variant>
        <vt:lpwstr/>
      </vt:variant>
      <vt:variant>
        <vt:lpwstr>_Toc285015611</vt:lpwstr>
      </vt:variant>
      <vt:variant>
        <vt:i4>1769520</vt:i4>
      </vt:variant>
      <vt:variant>
        <vt:i4>332</vt:i4>
      </vt:variant>
      <vt:variant>
        <vt:i4>0</vt:i4>
      </vt:variant>
      <vt:variant>
        <vt:i4>5</vt:i4>
      </vt:variant>
      <vt:variant>
        <vt:lpwstr/>
      </vt:variant>
      <vt:variant>
        <vt:lpwstr>_Toc285015610</vt:lpwstr>
      </vt:variant>
      <vt:variant>
        <vt:i4>1703984</vt:i4>
      </vt:variant>
      <vt:variant>
        <vt:i4>326</vt:i4>
      </vt:variant>
      <vt:variant>
        <vt:i4>0</vt:i4>
      </vt:variant>
      <vt:variant>
        <vt:i4>5</vt:i4>
      </vt:variant>
      <vt:variant>
        <vt:lpwstr/>
      </vt:variant>
      <vt:variant>
        <vt:lpwstr>_Toc285015609</vt:lpwstr>
      </vt:variant>
      <vt:variant>
        <vt:i4>1703984</vt:i4>
      </vt:variant>
      <vt:variant>
        <vt:i4>320</vt:i4>
      </vt:variant>
      <vt:variant>
        <vt:i4>0</vt:i4>
      </vt:variant>
      <vt:variant>
        <vt:i4>5</vt:i4>
      </vt:variant>
      <vt:variant>
        <vt:lpwstr/>
      </vt:variant>
      <vt:variant>
        <vt:lpwstr>_Toc285015608</vt:lpwstr>
      </vt:variant>
      <vt:variant>
        <vt:i4>1703984</vt:i4>
      </vt:variant>
      <vt:variant>
        <vt:i4>314</vt:i4>
      </vt:variant>
      <vt:variant>
        <vt:i4>0</vt:i4>
      </vt:variant>
      <vt:variant>
        <vt:i4>5</vt:i4>
      </vt:variant>
      <vt:variant>
        <vt:lpwstr/>
      </vt:variant>
      <vt:variant>
        <vt:lpwstr>_Toc285015607</vt:lpwstr>
      </vt:variant>
      <vt:variant>
        <vt:i4>1703984</vt:i4>
      </vt:variant>
      <vt:variant>
        <vt:i4>308</vt:i4>
      </vt:variant>
      <vt:variant>
        <vt:i4>0</vt:i4>
      </vt:variant>
      <vt:variant>
        <vt:i4>5</vt:i4>
      </vt:variant>
      <vt:variant>
        <vt:lpwstr/>
      </vt:variant>
      <vt:variant>
        <vt:lpwstr>_Toc285015606</vt:lpwstr>
      </vt:variant>
      <vt:variant>
        <vt:i4>1703984</vt:i4>
      </vt:variant>
      <vt:variant>
        <vt:i4>302</vt:i4>
      </vt:variant>
      <vt:variant>
        <vt:i4>0</vt:i4>
      </vt:variant>
      <vt:variant>
        <vt:i4>5</vt:i4>
      </vt:variant>
      <vt:variant>
        <vt:lpwstr/>
      </vt:variant>
      <vt:variant>
        <vt:lpwstr>_Toc285015605</vt:lpwstr>
      </vt:variant>
      <vt:variant>
        <vt:i4>1703984</vt:i4>
      </vt:variant>
      <vt:variant>
        <vt:i4>296</vt:i4>
      </vt:variant>
      <vt:variant>
        <vt:i4>0</vt:i4>
      </vt:variant>
      <vt:variant>
        <vt:i4>5</vt:i4>
      </vt:variant>
      <vt:variant>
        <vt:lpwstr/>
      </vt:variant>
      <vt:variant>
        <vt:lpwstr>_Toc285015604</vt:lpwstr>
      </vt:variant>
      <vt:variant>
        <vt:i4>1703984</vt:i4>
      </vt:variant>
      <vt:variant>
        <vt:i4>290</vt:i4>
      </vt:variant>
      <vt:variant>
        <vt:i4>0</vt:i4>
      </vt:variant>
      <vt:variant>
        <vt:i4>5</vt:i4>
      </vt:variant>
      <vt:variant>
        <vt:lpwstr/>
      </vt:variant>
      <vt:variant>
        <vt:lpwstr>_Toc285015603</vt:lpwstr>
      </vt:variant>
      <vt:variant>
        <vt:i4>1703984</vt:i4>
      </vt:variant>
      <vt:variant>
        <vt:i4>284</vt:i4>
      </vt:variant>
      <vt:variant>
        <vt:i4>0</vt:i4>
      </vt:variant>
      <vt:variant>
        <vt:i4>5</vt:i4>
      </vt:variant>
      <vt:variant>
        <vt:lpwstr/>
      </vt:variant>
      <vt:variant>
        <vt:lpwstr>_Toc285015602</vt:lpwstr>
      </vt:variant>
      <vt:variant>
        <vt:i4>1703984</vt:i4>
      </vt:variant>
      <vt:variant>
        <vt:i4>278</vt:i4>
      </vt:variant>
      <vt:variant>
        <vt:i4>0</vt:i4>
      </vt:variant>
      <vt:variant>
        <vt:i4>5</vt:i4>
      </vt:variant>
      <vt:variant>
        <vt:lpwstr/>
      </vt:variant>
      <vt:variant>
        <vt:lpwstr>_Toc285015601</vt:lpwstr>
      </vt:variant>
      <vt:variant>
        <vt:i4>1703984</vt:i4>
      </vt:variant>
      <vt:variant>
        <vt:i4>272</vt:i4>
      </vt:variant>
      <vt:variant>
        <vt:i4>0</vt:i4>
      </vt:variant>
      <vt:variant>
        <vt:i4>5</vt:i4>
      </vt:variant>
      <vt:variant>
        <vt:lpwstr/>
      </vt:variant>
      <vt:variant>
        <vt:lpwstr>_Toc285015600</vt:lpwstr>
      </vt:variant>
      <vt:variant>
        <vt:i4>1245235</vt:i4>
      </vt:variant>
      <vt:variant>
        <vt:i4>266</vt:i4>
      </vt:variant>
      <vt:variant>
        <vt:i4>0</vt:i4>
      </vt:variant>
      <vt:variant>
        <vt:i4>5</vt:i4>
      </vt:variant>
      <vt:variant>
        <vt:lpwstr/>
      </vt:variant>
      <vt:variant>
        <vt:lpwstr>_Toc285015599</vt:lpwstr>
      </vt:variant>
      <vt:variant>
        <vt:i4>1245235</vt:i4>
      </vt:variant>
      <vt:variant>
        <vt:i4>260</vt:i4>
      </vt:variant>
      <vt:variant>
        <vt:i4>0</vt:i4>
      </vt:variant>
      <vt:variant>
        <vt:i4>5</vt:i4>
      </vt:variant>
      <vt:variant>
        <vt:lpwstr/>
      </vt:variant>
      <vt:variant>
        <vt:lpwstr>_Toc285015598</vt:lpwstr>
      </vt:variant>
      <vt:variant>
        <vt:i4>1245235</vt:i4>
      </vt:variant>
      <vt:variant>
        <vt:i4>254</vt:i4>
      </vt:variant>
      <vt:variant>
        <vt:i4>0</vt:i4>
      </vt:variant>
      <vt:variant>
        <vt:i4>5</vt:i4>
      </vt:variant>
      <vt:variant>
        <vt:lpwstr/>
      </vt:variant>
      <vt:variant>
        <vt:lpwstr>_Toc285015597</vt:lpwstr>
      </vt:variant>
      <vt:variant>
        <vt:i4>1245235</vt:i4>
      </vt:variant>
      <vt:variant>
        <vt:i4>248</vt:i4>
      </vt:variant>
      <vt:variant>
        <vt:i4>0</vt:i4>
      </vt:variant>
      <vt:variant>
        <vt:i4>5</vt:i4>
      </vt:variant>
      <vt:variant>
        <vt:lpwstr/>
      </vt:variant>
      <vt:variant>
        <vt:lpwstr>_Toc285015596</vt:lpwstr>
      </vt:variant>
      <vt:variant>
        <vt:i4>1245235</vt:i4>
      </vt:variant>
      <vt:variant>
        <vt:i4>242</vt:i4>
      </vt:variant>
      <vt:variant>
        <vt:i4>0</vt:i4>
      </vt:variant>
      <vt:variant>
        <vt:i4>5</vt:i4>
      </vt:variant>
      <vt:variant>
        <vt:lpwstr/>
      </vt:variant>
      <vt:variant>
        <vt:lpwstr>_Toc285015595</vt:lpwstr>
      </vt:variant>
      <vt:variant>
        <vt:i4>1245235</vt:i4>
      </vt:variant>
      <vt:variant>
        <vt:i4>236</vt:i4>
      </vt:variant>
      <vt:variant>
        <vt:i4>0</vt:i4>
      </vt:variant>
      <vt:variant>
        <vt:i4>5</vt:i4>
      </vt:variant>
      <vt:variant>
        <vt:lpwstr/>
      </vt:variant>
      <vt:variant>
        <vt:lpwstr>_Toc285015594</vt:lpwstr>
      </vt:variant>
      <vt:variant>
        <vt:i4>1245235</vt:i4>
      </vt:variant>
      <vt:variant>
        <vt:i4>230</vt:i4>
      </vt:variant>
      <vt:variant>
        <vt:i4>0</vt:i4>
      </vt:variant>
      <vt:variant>
        <vt:i4>5</vt:i4>
      </vt:variant>
      <vt:variant>
        <vt:lpwstr/>
      </vt:variant>
      <vt:variant>
        <vt:lpwstr>_Toc285015593</vt:lpwstr>
      </vt:variant>
      <vt:variant>
        <vt:i4>1245235</vt:i4>
      </vt:variant>
      <vt:variant>
        <vt:i4>224</vt:i4>
      </vt:variant>
      <vt:variant>
        <vt:i4>0</vt:i4>
      </vt:variant>
      <vt:variant>
        <vt:i4>5</vt:i4>
      </vt:variant>
      <vt:variant>
        <vt:lpwstr/>
      </vt:variant>
      <vt:variant>
        <vt:lpwstr>_Toc285015592</vt:lpwstr>
      </vt:variant>
      <vt:variant>
        <vt:i4>1245235</vt:i4>
      </vt:variant>
      <vt:variant>
        <vt:i4>218</vt:i4>
      </vt:variant>
      <vt:variant>
        <vt:i4>0</vt:i4>
      </vt:variant>
      <vt:variant>
        <vt:i4>5</vt:i4>
      </vt:variant>
      <vt:variant>
        <vt:lpwstr/>
      </vt:variant>
      <vt:variant>
        <vt:lpwstr>_Toc285015591</vt:lpwstr>
      </vt:variant>
      <vt:variant>
        <vt:i4>1245235</vt:i4>
      </vt:variant>
      <vt:variant>
        <vt:i4>212</vt:i4>
      </vt:variant>
      <vt:variant>
        <vt:i4>0</vt:i4>
      </vt:variant>
      <vt:variant>
        <vt:i4>5</vt:i4>
      </vt:variant>
      <vt:variant>
        <vt:lpwstr/>
      </vt:variant>
      <vt:variant>
        <vt:lpwstr>_Toc285015590</vt:lpwstr>
      </vt:variant>
      <vt:variant>
        <vt:i4>1179699</vt:i4>
      </vt:variant>
      <vt:variant>
        <vt:i4>206</vt:i4>
      </vt:variant>
      <vt:variant>
        <vt:i4>0</vt:i4>
      </vt:variant>
      <vt:variant>
        <vt:i4>5</vt:i4>
      </vt:variant>
      <vt:variant>
        <vt:lpwstr/>
      </vt:variant>
      <vt:variant>
        <vt:lpwstr>_Toc285015589</vt:lpwstr>
      </vt:variant>
      <vt:variant>
        <vt:i4>1179699</vt:i4>
      </vt:variant>
      <vt:variant>
        <vt:i4>200</vt:i4>
      </vt:variant>
      <vt:variant>
        <vt:i4>0</vt:i4>
      </vt:variant>
      <vt:variant>
        <vt:i4>5</vt:i4>
      </vt:variant>
      <vt:variant>
        <vt:lpwstr/>
      </vt:variant>
      <vt:variant>
        <vt:lpwstr>_Toc285015588</vt:lpwstr>
      </vt:variant>
      <vt:variant>
        <vt:i4>1179699</vt:i4>
      </vt:variant>
      <vt:variant>
        <vt:i4>194</vt:i4>
      </vt:variant>
      <vt:variant>
        <vt:i4>0</vt:i4>
      </vt:variant>
      <vt:variant>
        <vt:i4>5</vt:i4>
      </vt:variant>
      <vt:variant>
        <vt:lpwstr/>
      </vt:variant>
      <vt:variant>
        <vt:lpwstr>_Toc285015587</vt:lpwstr>
      </vt:variant>
      <vt:variant>
        <vt:i4>1179699</vt:i4>
      </vt:variant>
      <vt:variant>
        <vt:i4>188</vt:i4>
      </vt:variant>
      <vt:variant>
        <vt:i4>0</vt:i4>
      </vt:variant>
      <vt:variant>
        <vt:i4>5</vt:i4>
      </vt:variant>
      <vt:variant>
        <vt:lpwstr/>
      </vt:variant>
      <vt:variant>
        <vt:lpwstr>_Toc285015586</vt:lpwstr>
      </vt:variant>
      <vt:variant>
        <vt:i4>1179699</vt:i4>
      </vt:variant>
      <vt:variant>
        <vt:i4>182</vt:i4>
      </vt:variant>
      <vt:variant>
        <vt:i4>0</vt:i4>
      </vt:variant>
      <vt:variant>
        <vt:i4>5</vt:i4>
      </vt:variant>
      <vt:variant>
        <vt:lpwstr/>
      </vt:variant>
      <vt:variant>
        <vt:lpwstr>_Toc285015585</vt:lpwstr>
      </vt:variant>
      <vt:variant>
        <vt:i4>1179699</vt:i4>
      </vt:variant>
      <vt:variant>
        <vt:i4>176</vt:i4>
      </vt:variant>
      <vt:variant>
        <vt:i4>0</vt:i4>
      </vt:variant>
      <vt:variant>
        <vt:i4>5</vt:i4>
      </vt:variant>
      <vt:variant>
        <vt:lpwstr/>
      </vt:variant>
      <vt:variant>
        <vt:lpwstr>_Toc285015584</vt:lpwstr>
      </vt:variant>
      <vt:variant>
        <vt:i4>1179699</vt:i4>
      </vt:variant>
      <vt:variant>
        <vt:i4>170</vt:i4>
      </vt:variant>
      <vt:variant>
        <vt:i4>0</vt:i4>
      </vt:variant>
      <vt:variant>
        <vt:i4>5</vt:i4>
      </vt:variant>
      <vt:variant>
        <vt:lpwstr/>
      </vt:variant>
      <vt:variant>
        <vt:lpwstr>_Toc285015583</vt:lpwstr>
      </vt:variant>
      <vt:variant>
        <vt:i4>1179699</vt:i4>
      </vt:variant>
      <vt:variant>
        <vt:i4>164</vt:i4>
      </vt:variant>
      <vt:variant>
        <vt:i4>0</vt:i4>
      </vt:variant>
      <vt:variant>
        <vt:i4>5</vt:i4>
      </vt:variant>
      <vt:variant>
        <vt:lpwstr/>
      </vt:variant>
      <vt:variant>
        <vt:lpwstr>_Toc285015582</vt:lpwstr>
      </vt:variant>
      <vt:variant>
        <vt:i4>1179699</vt:i4>
      </vt:variant>
      <vt:variant>
        <vt:i4>158</vt:i4>
      </vt:variant>
      <vt:variant>
        <vt:i4>0</vt:i4>
      </vt:variant>
      <vt:variant>
        <vt:i4>5</vt:i4>
      </vt:variant>
      <vt:variant>
        <vt:lpwstr/>
      </vt:variant>
      <vt:variant>
        <vt:lpwstr>_Toc285015581</vt:lpwstr>
      </vt:variant>
      <vt:variant>
        <vt:i4>1179699</vt:i4>
      </vt:variant>
      <vt:variant>
        <vt:i4>152</vt:i4>
      </vt:variant>
      <vt:variant>
        <vt:i4>0</vt:i4>
      </vt:variant>
      <vt:variant>
        <vt:i4>5</vt:i4>
      </vt:variant>
      <vt:variant>
        <vt:lpwstr/>
      </vt:variant>
      <vt:variant>
        <vt:lpwstr>_Toc285015580</vt:lpwstr>
      </vt:variant>
      <vt:variant>
        <vt:i4>1900595</vt:i4>
      </vt:variant>
      <vt:variant>
        <vt:i4>146</vt:i4>
      </vt:variant>
      <vt:variant>
        <vt:i4>0</vt:i4>
      </vt:variant>
      <vt:variant>
        <vt:i4>5</vt:i4>
      </vt:variant>
      <vt:variant>
        <vt:lpwstr/>
      </vt:variant>
      <vt:variant>
        <vt:lpwstr>_Toc285015579</vt:lpwstr>
      </vt:variant>
      <vt:variant>
        <vt:i4>1900595</vt:i4>
      </vt:variant>
      <vt:variant>
        <vt:i4>140</vt:i4>
      </vt:variant>
      <vt:variant>
        <vt:i4>0</vt:i4>
      </vt:variant>
      <vt:variant>
        <vt:i4>5</vt:i4>
      </vt:variant>
      <vt:variant>
        <vt:lpwstr/>
      </vt:variant>
      <vt:variant>
        <vt:lpwstr>_Toc285015578</vt:lpwstr>
      </vt:variant>
      <vt:variant>
        <vt:i4>1900595</vt:i4>
      </vt:variant>
      <vt:variant>
        <vt:i4>134</vt:i4>
      </vt:variant>
      <vt:variant>
        <vt:i4>0</vt:i4>
      </vt:variant>
      <vt:variant>
        <vt:i4>5</vt:i4>
      </vt:variant>
      <vt:variant>
        <vt:lpwstr/>
      </vt:variant>
      <vt:variant>
        <vt:lpwstr>_Toc285015577</vt:lpwstr>
      </vt:variant>
      <vt:variant>
        <vt:i4>1900595</vt:i4>
      </vt:variant>
      <vt:variant>
        <vt:i4>128</vt:i4>
      </vt:variant>
      <vt:variant>
        <vt:i4>0</vt:i4>
      </vt:variant>
      <vt:variant>
        <vt:i4>5</vt:i4>
      </vt:variant>
      <vt:variant>
        <vt:lpwstr/>
      </vt:variant>
      <vt:variant>
        <vt:lpwstr>_Toc285015576</vt:lpwstr>
      </vt:variant>
      <vt:variant>
        <vt:i4>1900595</vt:i4>
      </vt:variant>
      <vt:variant>
        <vt:i4>122</vt:i4>
      </vt:variant>
      <vt:variant>
        <vt:i4>0</vt:i4>
      </vt:variant>
      <vt:variant>
        <vt:i4>5</vt:i4>
      </vt:variant>
      <vt:variant>
        <vt:lpwstr/>
      </vt:variant>
      <vt:variant>
        <vt:lpwstr>_Toc285015575</vt:lpwstr>
      </vt:variant>
      <vt:variant>
        <vt:i4>1900595</vt:i4>
      </vt:variant>
      <vt:variant>
        <vt:i4>116</vt:i4>
      </vt:variant>
      <vt:variant>
        <vt:i4>0</vt:i4>
      </vt:variant>
      <vt:variant>
        <vt:i4>5</vt:i4>
      </vt:variant>
      <vt:variant>
        <vt:lpwstr/>
      </vt:variant>
      <vt:variant>
        <vt:lpwstr>_Toc285015574</vt:lpwstr>
      </vt:variant>
      <vt:variant>
        <vt:i4>1900595</vt:i4>
      </vt:variant>
      <vt:variant>
        <vt:i4>110</vt:i4>
      </vt:variant>
      <vt:variant>
        <vt:i4>0</vt:i4>
      </vt:variant>
      <vt:variant>
        <vt:i4>5</vt:i4>
      </vt:variant>
      <vt:variant>
        <vt:lpwstr/>
      </vt:variant>
      <vt:variant>
        <vt:lpwstr>_Toc285015573</vt:lpwstr>
      </vt:variant>
      <vt:variant>
        <vt:i4>1900595</vt:i4>
      </vt:variant>
      <vt:variant>
        <vt:i4>104</vt:i4>
      </vt:variant>
      <vt:variant>
        <vt:i4>0</vt:i4>
      </vt:variant>
      <vt:variant>
        <vt:i4>5</vt:i4>
      </vt:variant>
      <vt:variant>
        <vt:lpwstr/>
      </vt:variant>
      <vt:variant>
        <vt:lpwstr>_Toc285015572</vt:lpwstr>
      </vt:variant>
      <vt:variant>
        <vt:i4>1900595</vt:i4>
      </vt:variant>
      <vt:variant>
        <vt:i4>98</vt:i4>
      </vt:variant>
      <vt:variant>
        <vt:i4>0</vt:i4>
      </vt:variant>
      <vt:variant>
        <vt:i4>5</vt:i4>
      </vt:variant>
      <vt:variant>
        <vt:lpwstr/>
      </vt:variant>
      <vt:variant>
        <vt:lpwstr>_Toc285015571</vt:lpwstr>
      </vt:variant>
      <vt:variant>
        <vt:i4>1900595</vt:i4>
      </vt:variant>
      <vt:variant>
        <vt:i4>92</vt:i4>
      </vt:variant>
      <vt:variant>
        <vt:i4>0</vt:i4>
      </vt:variant>
      <vt:variant>
        <vt:i4>5</vt:i4>
      </vt:variant>
      <vt:variant>
        <vt:lpwstr/>
      </vt:variant>
      <vt:variant>
        <vt:lpwstr>_Toc285015570</vt:lpwstr>
      </vt:variant>
      <vt:variant>
        <vt:i4>1835059</vt:i4>
      </vt:variant>
      <vt:variant>
        <vt:i4>86</vt:i4>
      </vt:variant>
      <vt:variant>
        <vt:i4>0</vt:i4>
      </vt:variant>
      <vt:variant>
        <vt:i4>5</vt:i4>
      </vt:variant>
      <vt:variant>
        <vt:lpwstr/>
      </vt:variant>
      <vt:variant>
        <vt:lpwstr>_Toc285015569</vt:lpwstr>
      </vt:variant>
      <vt:variant>
        <vt:i4>1835059</vt:i4>
      </vt:variant>
      <vt:variant>
        <vt:i4>80</vt:i4>
      </vt:variant>
      <vt:variant>
        <vt:i4>0</vt:i4>
      </vt:variant>
      <vt:variant>
        <vt:i4>5</vt:i4>
      </vt:variant>
      <vt:variant>
        <vt:lpwstr/>
      </vt:variant>
      <vt:variant>
        <vt:lpwstr>_Toc285015568</vt:lpwstr>
      </vt:variant>
      <vt:variant>
        <vt:i4>1835059</vt:i4>
      </vt:variant>
      <vt:variant>
        <vt:i4>74</vt:i4>
      </vt:variant>
      <vt:variant>
        <vt:i4>0</vt:i4>
      </vt:variant>
      <vt:variant>
        <vt:i4>5</vt:i4>
      </vt:variant>
      <vt:variant>
        <vt:lpwstr/>
      </vt:variant>
      <vt:variant>
        <vt:lpwstr>_Toc285015567</vt:lpwstr>
      </vt:variant>
      <vt:variant>
        <vt:i4>1835059</vt:i4>
      </vt:variant>
      <vt:variant>
        <vt:i4>68</vt:i4>
      </vt:variant>
      <vt:variant>
        <vt:i4>0</vt:i4>
      </vt:variant>
      <vt:variant>
        <vt:i4>5</vt:i4>
      </vt:variant>
      <vt:variant>
        <vt:lpwstr/>
      </vt:variant>
      <vt:variant>
        <vt:lpwstr>_Toc285015566</vt:lpwstr>
      </vt:variant>
      <vt:variant>
        <vt:i4>1835059</vt:i4>
      </vt:variant>
      <vt:variant>
        <vt:i4>62</vt:i4>
      </vt:variant>
      <vt:variant>
        <vt:i4>0</vt:i4>
      </vt:variant>
      <vt:variant>
        <vt:i4>5</vt:i4>
      </vt:variant>
      <vt:variant>
        <vt:lpwstr/>
      </vt:variant>
      <vt:variant>
        <vt:lpwstr>_Toc285015565</vt:lpwstr>
      </vt:variant>
      <vt:variant>
        <vt:i4>1835059</vt:i4>
      </vt:variant>
      <vt:variant>
        <vt:i4>56</vt:i4>
      </vt:variant>
      <vt:variant>
        <vt:i4>0</vt:i4>
      </vt:variant>
      <vt:variant>
        <vt:i4>5</vt:i4>
      </vt:variant>
      <vt:variant>
        <vt:lpwstr/>
      </vt:variant>
      <vt:variant>
        <vt:lpwstr>_Toc285015564</vt:lpwstr>
      </vt:variant>
      <vt:variant>
        <vt:i4>1835059</vt:i4>
      </vt:variant>
      <vt:variant>
        <vt:i4>50</vt:i4>
      </vt:variant>
      <vt:variant>
        <vt:i4>0</vt:i4>
      </vt:variant>
      <vt:variant>
        <vt:i4>5</vt:i4>
      </vt:variant>
      <vt:variant>
        <vt:lpwstr/>
      </vt:variant>
      <vt:variant>
        <vt:lpwstr>_Toc285015563</vt:lpwstr>
      </vt:variant>
      <vt:variant>
        <vt:i4>1835059</vt:i4>
      </vt:variant>
      <vt:variant>
        <vt:i4>44</vt:i4>
      </vt:variant>
      <vt:variant>
        <vt:i4>0</vt:i4>
      </vt:variant>
      <vt:variant>
        <vt:i4>5</vt:i4>
      </vt:variant>
      <vt:variant>
        <vt:lpwstr/>
      </vt:variant>
      <vt:variant>
        <vt:lpwstr>_Toc285015562</vt:lpwstr>
      </vt:variant>
      <vt:variant>
        <vt:i4>1835059</vt:i4>
      </vt:variant>
      <vt:variant>
        <vt:i4>38</vt:i4>
      </vt:variant>
      <vt:variant>
        <vt:i4>0</vt:i4>
      </vt:variant>
      <vt:variant>
        <vt:i4>5</vt:i4>
      </vt:variant>
      <vt:variant>
        <vt:lpwstr/>
      </vt:variant>
      <vt:variant>
        <vt:lpwstr>_Toc285015561</vt:lpwstr>
      </vt:variant>
      <vt:variant>
        <vt:i4>1835059</vt:i4>
      </vt:variant>
      <vt:variant>
        <vt:i4>32</vt:i4>
      </vt:variant>
      <vt:variant>
        <vt:i4>0</vt:i4>
      </vt:variant>
      <vt:variant>
        <vt:i4>5</vt:i4>
      </vt:variant>
      <vt:variant>
        <vt:lpwstr/>
      </vt:variant>
      <vt:variant>
        <vt:lpwstr>_Toc285015560</vt:lpwstr>
      </vt:variant>
      <vt:variant>
        <vt:i4>2031667</vt:i4>
      </vt:variant>
      <vt:variant>
        <vt:i4>26</vt:i4>
      </vt:variant>
      <vt:variant>
        <vt:i4>0</vt:i4>
      </vt:variant>
      <vt:variant>
        <vt:i4>5</vt:i4>
      </vt:variant>
      <vt:variant>
        <vt:lpwstr/>
      </vt:variant>
      <vt:variant>
        <vt:lpwstr>_Toc285015559</vt:lpwstr>
      </vt:variant>
      <vt:variant>
        <vt:i4>2031667</vt:i4>
      </vt:variant>
      <vt:variant>
        <vt:i4>20</vt:i4>
      </vt:variant>
      <vt:variant>
        <vt:i4>0</vt:i4>
      </vt:variant>
      <vt:variant>
        <vt:i4>5</vt:i4>
      </vt:variant>
      <vt:variant>
        <vt:lpwstr/>
      </vt:variant>
      <vt:variant>
        <vt:lpwstr>_Toc285015558</vt:lpwstr>
      </vt:variant>
      <vt:variant>
        <vt:i4>2031667</vt:i4>
      </vt:variant>
      <vt:variant>
        <vt:i4>14</vt:i4>
      </vt:variant>
      <vt:variant>
        <vt:i4>0</vt:i4>
      </vt:variant>
      <vt:variant>
        <vt:i4>5</vt:i4>
      </vt:variant>
      <vt:variant>
        <vt:lpwstr/>
      </vt:variant>
      <vt:variant>
        <vt:lpwstr>_Toc285015557</vt:lpwstr>
      </vt:variant>
      <vt:variant>
        <vt:i4>2031667</vt:i4>
      </vt:variant>
      <vt:variant>
        <vt:i4>8</vt:i4>
      </vt:variant>
      <vt:variant>
        <vt:i4>0</vt:i4>
      </vt:variant>
      <vt:variant>
        <vt:i4>5</vt:i4>
      </vt:variant>
      <vt:variant>
        <vt:lpwstr/>
      </vt:variant>
      <vt:variant>
        <vt:lpwstr>_Toc285015556</vt:lpwstr>
      </vt:variant>
      <vt:variant>
        <vt:i4>2031667</vt:i4>
      </vt:variant>
      <vt:variant>
        <vt:i4>2</vt:i4>
      </vt:variant>
      <vt:variant>
        <vt:i4>0</vt:i4>
      </vt:variant>
      <vt:variant>
        <vt:i4>5</vt:i4>
      </vt:variant>
      <vt:variant>
        <vt:lpwstr/>
      </vt:variant>
      <vt:variant>
        <vt:lpwstr>_Toc285015555</vt:lpwstr>
      </vt:variant>
      <vt:variant>
        <vt:i4>6619174</vt:i4>
      </vt:variant>
      <vt:variant>
        <vt:i4>0</vt:i4>
      </vt:variant>
      <vt:variant>
        <vt:i4>0</vt:i4>
      </vt:variant>
      <vt:variant>
        <vt:i4>5</vt:i4>
      </vt:variant>
      <vt:variant>
        <vt:lpwstr>http://www.isws.illinois.edu/pubdoc/B/ISWSB-71.pdf</vt:lpwstr>
      </vt:variant>
      <vt:variant>
        <vt:lpwstr/>
      </vt:variant>
      <vt:variant>
        <vt:i4>8061004</vt:i4>
      </vt:variant>
      <vt:variant>
        <vt:i4>426</vt:i4>
      </vt:variant>
      <vt:variant>
        <vt:i4>0</vt:i4>
      </vt:variant>
      <vt:variant>
        <vt:i4>5</vt:i4>
      </vt:variant>
      <vt:variant>
        <vt:lpwstr>http://cfpub.epa.gov/npdes/stormwater/menuofbmps/index.cfm?action=factsheet_results&amp;view=specific&amp;bmp=18</vt:lpwstr>
      </vt:variant>
      <vt:variant>
        <vt:lpwstr/>
      </vt:variant>
      <vt:variant>
        <vt:i4>1245190</vt:i4>
      </vt:variant>
      <vt:variant>
        <vt:i4>423</vt:i4>
      </vt:variant>
      <vt:variant>
        <vt:i4>0</vt:i4>
      </vt:variant>
      <vt:variant>
        <vt:i4>5</vt:i4>
      </vt:variant>
      <vt:variant>
        <vt:lpwstr>http://www.dec.ny.gov/chemical/29072.html</vt:lpwstr>
      </vt:variant>
      <vt:variant>
        <vt:lpwstr/>
      </vt:variant>
      <vt:variant>
        <vt:i4>1703943</vt:i4>
      </vt:variant>
      <vt:variant>
        <vt:i4>420</vt:i4>
      </vt:variant>
      <vt:variant>
        <vt:i4>0</vt:i4>
      </vt:variant>
      <vt:variant>
        <vt:i4>5</vt:i4>
      </vt:variant>
      <vt:variant>
        <vt:lpwstr>http://www.nrdc.org/water/pollution/rooftops/contents.asp</vt:lpwstr>
      </vt:variant>
      <vt:variant>
        <vt:lpwstr/>
      </vt:variant>
      <vt:variant>
        <vt:i4>1703943</vt:i4>
      </vt:variant>
      <vt:variant>
        <vt:i4>417</vt:i4>
      </vt:variant>
      <vt:variant>
        <vt:i4>0</vt:i4>
      </vt:variant>
      <vt:variant>
        <vt:i4>5</vt:i4>
      </vt:variant>
      <vt:variant>
        <vt:lpwstr>http://www.nrdc.org/water/pollution/rooftops/contents.asp</vt:lpwstr>
      </vt:variant>
      <vt:variant>
        <vt:lpwstr/>
      </vt:variant>
      <vt:variant>
        <vt:i4>3735675</vt:i4>
      </vt:variant>
      <vt:variant>
        <vt:i4>414</vt:i4>
      </vt:variant>
      <vt:variant>
        <vt:i4>0</vt:i4>
      </vt:variant>
      <vt:variant>
        <vt:i4>5</vt:i4>
      </vt:variant>
      <vt:variant>
        <vt:lpwstr>http://www.rmi.org/sitepages/pid209.php</vt:lpwstr>
      </vt:variant>
      <vt:variant>
        <vt:lpwstr/>
      </vt:variant>
      <vt:variant>
        <vt:i4>1048581</vt:i4>
      </vt:variant>
      <vt:variant>
        <vt:i4>411</vt:i4>
      </vt:variant>
      <vt:variant>
        <vt:i4>0</vt:i4>
      </vt:variant>
      <vt:variant>
        <vt:i4>5</vt:i4>
      </vt:variant>
      <vt:variant>
        <vt:lpwstr>http://www.epa.gov/owow/NPS/lid/costs07/documents/reducingstormwatercosts.pdf</vt:lpwstr>
      </vt:variant>
      <vt:variant>
        <vt:lpwstr/>
      </vt:variant>
      <vt:variant>
        <vt:i4>720940</vt:i4>
      </vt:variant>
      <vt:variant>
        <vt:i4>408</vt:i4>
      </vt:variant>
      <vt:variant>
        <vt:i4>0</vt:i4>
      </vt:variant>
      <vt:variant>
        <vt:i4>5</vt:i4>
      </vt:variant>
      <vt:variant>
        <vt:lpwstr>http://www.nycgovparks.org/sub_your_park/trees_greenstreets/tree_care_tips/water.html</vt:lpwstr>
      </vt:variant>
      <vt:variant>
        <vt:lpwstr/>
      </vt:variant>
      <vt:variant>
        <vt:i4>8061004</vt:i4>
      </vt:variant>
      <vt:variant>
        <vt:i4>405</vt:i4>
      </vt:variant>
      <vt:variant>
        <vt:i4>0</vt:i4>
      </vt:variant>
      <vt:variant>
        <vt:i4>5</vt:i4>
      </vt:variant>
      <vt:variant>
        <vt:lpwstr>http://cfpub.epa.gov/npdes/stormwater/menuofbmps/index.cfm?action=factsheet_results&amp;view=specific&amp;bmp=18</vt:lpwstr>
      </vt:variant>
      <vt:variant>
        <vt:lpwstr/>
      </vt:variant>
      <vt:variant>
        <vt:i4>8061004</vt:i4>
      </vt:variant>
      <vt:variant>
        <vt:i4>402</vt:i4>
      </vt:variant>
      <vt:variant>
        <vt:i4>0</vt:i4>
      </vt:variant>
      <vt:variant>
        <vt:i4>5</vt:i4>
      </vt:variant>
      <vt:variant>
        <vt:lpwstr>http://cfpub.epa.gov/npdes/stormwater/menuofbmps/index.cfm?action=factsheet_results&amp;view=specific&amp;bmp=18</vt:lpwstr>
      </vt:variant>
      <vt:variant>
        <vt:lpwstr/>
      </vt:variant>
      <vt:variant>
        <vt:i4>8061004</vt:i4>
      </vt:variant>
      <vt:variant>
        <vt:i4>399</vt:i4>
      </vt:variant>
      <vt:variant>
        <vt:i4>0</vt:i4>
      </vt:variant>
      <vt:variant>
        <vt:i4>5</vt:i4>
      </vt:variant>
      <vt:variant>
        <vt:lpwstr>http://cfpub.epa.gov/npdes/stormwater/menuofbmps/index.cfm?action=factsheet_results&amp;view=specific&amp;bmp=18</vt:lpwstr>
      </vt:variant>
      <vt:variant>
        <vt:lpwstr/>
      </vt:variant>
      <vt:variant>
        <vt:i4>1376326</vt:i4>
      </vt:variant>
      <vt:variant>
        <vt:i4>396</vt:i4>
      </vt:variant>
      <vt:variant>
        <vt:i4>0</vt:i4>
      </vt:variant>
      <vt:variant>
        <vt:i4>5</vt:i4>
      </vt:variant>
      <vt:variant>
        <vt:lpwstr>http://www.riverkeeper.org/wp-content/uploads/2009/06/Sustainable-Raindrops-Report-1-8-08.pdf</vt:lpwstr>
      </vt:variant>
      <vt:variant>
        <vt:lpwstr/>
      </vt:variant>
      <vt:variant>
        <vt:i4>1376326</vt:i4>
      </vt:variant>
      <vt:variant>
        <vt:i4>393</vt:i4>
      </vt:variant>
      <vt:variant>
        <vt:i4>0</vt:i4>
      </vt:variant>
      <vt:variant>
        <vt:i4>5</vt:i4>
      </vt:variant>
      <vt:variant>
        <vt:lpwstr>http://www.riverkeeper.org/wp-content/uploads/2009/06/Sustainable-Raindrops-Report-1-8-08.pdf</vt:lpwstr>
      </vt:variant>
      <vt:variant>
        <vt:lpwstr/>
      </vt:variant>
      <vt:variant>
        <vt:i4>1245190</vt:i4>
      </vt:variant>
      <vt:variant>
        <vt:i4>390</vt:i4>
      </vt:variant>
      <vt:variant>
        <vt:i4>0</vt:i4>
      </vt:variant>
      <vt:variant>
        <vt:i4>5</vt:i4>
      </vt:variant>
      <vt:variant>
        <vt:lpwstr>http://www.dec.ny.gov/chemical/29072.html</vt:lpwstr>
      </vt:variant>
      <vt:variant>
        <vt:lpwstr/>
      </vt:variant>
      <vt:variant>
        <vt:i4>1245190</vt:i4>
      </vt:variant>
      <vt:variant>
        <vt:i4>387</vt:i4>
      </vt:variant>
      <vt:variant>
        <vt:i4>0</vt:i4>
      </vt:variant>
      <vt:variant>
        <vt:i4>5</vt:i4>
      </vt:variant>
      <vt:variant>
        <vt:lpwstr>http://www.dec.ny.gov/chemical/29072.html</vt:lpwstr>
      </vt:variant>
      <vt:variant>
        <vt:lpwstr/>
      </vt:variant>
      <vt:variant>
        <vt:i4>3604561</vt:i4>
      </vt:variant>
      <vt:variant>
        <vt:i4>384</vt:i4>
      </vt:variant>
      <vt:variant>
        <vt:i4>0</vt:i4>
      </vt:variant>
      <vt:variant>
        <vt:i4>5</vt:i4>
      </vt:variant>
      <vt:variant>
        <vt:lpwstr>http://www.waterworld.com/index/display/article-display/articles/urban-water-management/volume-4/issue-4/features/tree-filter-systems-for-effective-urban-stormwater-management_.html</vt:lpwstr>
      </vt:variant>
      <vt:variant>
        <vt:lpwstr/>
      </vt:variant>
      <vt:variant>
        <vt:i4>3604561</vt:i4>
      </vt:variant>
      <vt:variant>
        <vt:i4>381</vt:i4>
      </vt:variant>
      <vt:variant>
        <vt:i4>0</vt:i4>
      </vt:variant>
      <vt:variant>
        <vt:i4>5</vt:i4>
      </vt:variant>
      <vt:variant>
        <vt:lpwstr>http://www.waterworld.com/index/display/article-display/articles/urban-water-management/volume-4/issue-4/features/tree-filter-systems-for-effective-urban-stormwater-management_.html</vt:lpwstr>
      </vt:variant>
      <vt:variant>
        <vt:lpwstr/>
      </vt:variant>
      <vt:variant>
        <vt:i4>1245190</vt:i4>
      </vt:variant>
      <vt:variant>
        <vt:i4>378</vt:i4>
      </vt:variant>
      <vt:variant>
        <vt:i4>0</vt:i4>
      </vt:variant>
      <vt:variant>
        <vt:i4>5</vt:i4>
      </vt:variant>
      <vt:variant>
        <vt:lpwstr>http://www.dec.ny.gov/chemical/29072.html</vt:lpwstr>
      </vt:variant>
      <vt:variant>
        <vt:lpwstr/>
      </vt:variant>
      <vt:variant>
        <vt:i4>1245190</vt:i4>
      </vt:variant>
      <vt:variant>
        <vt:i4>375</vt:i4>
      </vt:variant>
      <vt:variant>
        <vt:i4>0</vt:i4>
      </vt:variant>
      <vt:variant>
        <vt:i4>5</vt:i4>
      </vt:variant>
      <vt:variant>
        <vt:lpwstr>http://www.dec.ny.gov/chemical/29072.html</vt:lpwstr>
      </vt:variant>
      <vt:variant>
        <vt:lpwstr/>
      </vt:variant>
      <vt:variant>
        <vt:i4>2752554</vt:i4>
      </vt:variant>
      <vt:variant>
        <vt:i4>372</vt:i4>
      </vt:variant>
      <vt:variant>
        <vt:i4>0</vt:i4>
      </vt:variant>
      <vt:variant>
        <vt:i4>5</vt:i4>
      </vt:variant>
      <vt:variant>
        <vt:lpwstr>http://www.elibrary.dep.state.pa.us/dsweb/View/Collection-8305</vt:lpwstr>
      </vt:variant>
      <vt:variant>
        <vt:lpwstr/>
      </vt:variant>
      <vt:variant>
        <vt:i4>7798858</vt:i4>
      </vt:variant>
      <vt:variant>
        <vt:i4>369</vt:i4>
      </vt:variant>
      <vt:variant>
        <vt:i4>0</vt:i4>
      </vt:variant>
      <vt:variant>
        <vt:i4>5</vt:i4>
      </vt:variant>
      <vt:variant>
        <vt:lpwstr>http://cfpub.epa.gov/npdes/stormwater/menuofbmps/index.cfm?action=factsheet_results&amp;view=specific&amp;bmp=74</vt:lpwstr>
      </vt:variant>
      <vt:variant>
        <vt:lpwstr/>
      </vt:variant>
      <vt:variant>
        <vt:i4>2752554</vt:i4>
      </vt:variant>
      <vt:variant>
        <vt:i4>366</vt:i4>
      </vt:variant>
      <vt:variant>
        <vt:i4>0</vt:i4>
      </vt:variant>
      <vt:variant>
        <vt:i4>5</vt:i4>
      </vt:variant>
      <vt:variant>
        <vt:lpwstr>http://www.elibrary.dep.state.pa.us/dsweb/View/Collection-8305</vt:lpwstr>
      </vt:variant>
      <vt:variant>
        <vt:lpwstr/>
      </vt:variant>
      <vt:variant>
        <vt:i4>5505102</vt:i4>
      </vt:variant>
      <vt:variant>
        <vt:i4>363</vt:i4>
      </vt:variant>
      <vt:variant>
        <vt:i4>0</vt:i4>
      </vt:variant>
      <vt:variant>
        <vt:i4>5</vt:i4>
      </vt:variant>
      <vt:variant>
        <vt:lpwstr>http://pubs.acs.org/doi/abs/10.1021/es802958q</vt:lpwstr>
      </vt:variant>
      <vt:variant>
        <vt:lpwstr/>
      </vt:variant>
      <vt:variant>
        <vt:i4>6226009</vt:i4>
      </vt:variant>
      <vt:variant>
        <vt:i4>360</vt:i4>
      </vt:variant>
      <vt:variant>
        <vt:i4>0</vt:i4>
      </vt:variant>
      <vt:variant>
        <vt:i4>5</vt:i4>
      </vt:variant>
      <vt:variant>
        <vt:lpwstr>http://www.epa.gov/owow/wetlands/pdf/hand.pdf</vt:lpwstr>
      </vt:variant>
      <vt:variant>
        <vt:lpwstr/>
      </vt:variant>
      <vt:variant>
        <vt:i4>7798858</vt:i4>
      </vt:variant>
      <vt:variant>
        <vt:i4>357</vt:i4>
      </vt:variant>
      <vt:variant>
        <vt:i4>0</vt:i4>
      </vt:variant>
      <vt:variant>
        <vt:i4>5</vt:i4>
      </vt:variant>
      <vt:variant>
        <vt:lpwstr>http://cfpub.epa.gov/npdes/stormwater/menuofbmps/index.cfm?action=factsheet_results&amp;view=specific&amp;bmp=74</vt:lpwstr>
      </vt:variant>
      <vt:variant>
        <vt:lpwstr/>
      </vt:variant>
      <vt:variant>
        <vt:i4>7798858</vt:i4>
      </vt:variant>
      <vt:variant>
        <vt:i4>354</vt:i4>
      </vt:variant>
      <vt:variant>
        <vt:i4>0</vt:i4>
      </vt:variant>
      <vt:variant>
        <vt:i4>5</vt:i4>
      </vt:variant>
      <vt:variant>
        <vt:lpwstr>http://cfpub.epa.gov/npdes/stormwater/menuofbmps/index.cfm?action=factsheet_results&amp;view=specific&amp;bmp=74</vt:lpwstr>
      </vt:variant>
      <vt:variant>
        <vt:lpwstr/>
      </vt:variant>
      <vt:variant>
        <vt:i4>2752554</vt:i4>
      </vt:variant>
      <vt:variant>
        <vt:i4>351</vt:i4>
      </vt:variant>
      <vt:variant>
        <vt:i4>0</vt:i4>
      </vt:variant>
      <vt:variant>
        <vt:i4>5</vt:i4>
      </vt:variant>
      <vt:variant>
        <vt:lpwstr>http://www.elibrary.dep.state.pa.us/dsweb/View/Collection-8305</vt:lpwstr>
      </vt:variant>
      <vt:variant>
        <vt:lpwstr/>
      </vt:variant>
      <vt:variant>
        <vt:i4>6226009</vt:i4>
      </vt:variant>
      <vt:variant>
        <vt:i4>348</vt:i4>
      </vt:variant>
      <vt:variant>
        <vt:i4>0</vt:i4>
      </vt:variant>
      <vt:variant>
        <vt:i4>5</vt:i4>
      </vt:variant>
      <vt:variant>
        <vt:lpwstr>http://www.epa.gov/owow/wetlands/pdf/hand.pdf</vt:lpwstr>
      </vt:variant>
      <vt:variant>
        <vt:lpwstr/>
      </vt:variant>
      <vt:variant>
        <vt:i4>2097223</vt:i4>
      </vt:variant>
      <vt:variant>
        <vt:i4>345</vt:i4>
      </vt:variant>
      <vt:variant>
        <vt:i4>0</vt:i4>
      </vt:variant>
      <vt:variant>
        <vt:i4>5</vt:i4>
      </vt:variant>
      <vt:variant>
        <vt:lpwstr>http://www.metrocouncil.org/environment/Water/BMP/CH3_STConstWLSwWetland.pdf</vt:lpwstr>
      </vt:variant>
      <vt:variant>
        <vt:lpwstr/>
      </vt:variant>
      <vt:variant>
        <vt:i4>5570586</vt:i4>
      </vt:variant>
      <vt:variant>
        <vt:i4>342</vt:i4>
      </vt:variant>
      <vt:variant>
        <vt:i4>0</vt:i4>
      </vt:variant>
      <vt:variant>
        <vt:i4>5</vt:i4>
      </vt:variant>
      <vt:variant>
        <vt:lpwstr>http://www.clermontstorm.net/wetland.pdf</vt:lpwstr>
      </vt:variant>
      <vt:variant>
        <vt:lpwstr/>
      </vt:variant>
      <vt:variant>
        <vt:i4>6226009</vt:i4>
      </vt:variant>
      <vt:variant>
        <vt:i4>339</vt:i4>
      </vt:variant>
      <vt:variant>
        <vt:i4>0</vt:i4>
      </vt:variant>
      <vt:variant>
        <vt:i4>5</vt:i4>
      </vt:variant>
      <vt:variant>
        <vt:lpwstr>http://www.epa.gov/owow/wetlands/pdf/hand.pdf</vt:lpwstr>
      </vt:variant>
      <vt:variant>
        <vt:lpwstr/>
      </vt:variant>
      <vt:variant>
        <vt:i4>6226009</vt:i4>
      </vt:variant>
      <vt:variant>
        <vt:i4>336</vt:i4>
      </vt:variant>
      <vt:variant>
        <vt:i4>0</vt:i4>
      </vt:variant>
      <vt:variant>
        <vt:i4>5</vt:i4>
      </vt:variant>
      <vt:variant>
        <vt:lpwstr>http://www.epa.gov/owow/wetlands/pdf/hand.pdf</vt:lpwstr>
      </vt:variant>
      <vt:variant>
        <vt:lpwstr/>
      </vt:variant>
      <vt:variant>
        <vt:i4>786442</vt:i4>
      </vt:variant>
      <vt:variant>
        <vt:i4>333</vt:i4>
      </vt:variant>
      <vt:variant>
        <vt:i4>0</vt:i4>
      </vt:variant>
      <vt:variant>
        <vt:i4>5</vt:i4>
      </vt:variant>
      <vt:variant>
        <vt:lpwstr>http://www.mdpi.com/2073-4441/2/3/530/pdf</vt:lpwstr>
      </vt:variant>
      <vt:variant>
        <vt:lpwstr/>
      </vt:variant>
      <vt:variant>
        <vt:i4>1245190</vt:i4>
      </vt:variant>
      <vt:variant>
        <vt:i4>330</vt:i4>
      </vt:variant>
      <vt:variant>
        <vt:i4>0</vt:i4>
      </vt:variant>
      <vt:variant>
        <vt:i4>5</vt:i4>
      </vt:variant>
      <vt:variant>
        <vt:lpwstr>http://www.dec.ny.gov/chemical/29072.html</vt:lpwstr>
      </vt:variant>
      <vt:variant>
        <vt:lpwstr/>
      </vt:variant>
      <vt:variant>
        <vt:i4>7209068</vt:i4>
      </vt:variant>
      <vt:variant>
        <vt:i4>327</vt:i4>
      </vt:variant>
      <vt:variant>
        <vt:i4>0</vt:i4>
      </vt:variant>
      <vt:variant>
        <vt:i4>5</vt:i4>
      </vt:variant>
      <vt:variant>
        <vt:lpwstr>http://www.sustainindy.org/assets/uploads/4_03_CisternsandRainBarrels.pdf</vt:lpwstr>
      </vt:variant>
      <vt:variant>
        <vt:lpwstr/>
      </vt:variant>
      <vt:variant>
        <vt:i4>8126584</vt:i4>
      </vt:variant>
      <vt:variant>
        <vt:i4>324</vt:i4>
      </vt:variant>
      <vt:variant>
        <vt:i4>0</vt:i4>
      </vt:variant>
      <vt:variant>
        <vt:i4>5</vt:i4>
      </vt:variant>
      <vt:variant>
        <vt:lpwstr>http://www.chesapeakestormwater.net/storage/first-draft-baywide-design-specificationsi/BAYWIDE No 6 RAIN TANKS AND CISTERNS.pdf</vt:lpwstr>
      </vt:variant>
      <vt:variant>
        <vt:lpwstr/>
      </vt:variant>
      <vt:variant>
        <vt:i4>3342437</vt:i4>
      </vt:variant>
      <vt:variant>
        <vt:i4>321</vt:i4>
      </vt:variant>
      <vt:variant>
        <vt:i4>0</vt:i4>
      </vt:variant>
      <vt:variant>
        <vt:i4>5</vt:i4>
      </vt:variant>
      <vt:variant>
        <vt:lpwstr>http://www.bae.ncsu.edu/topic/waterharvesting/</vt:lpwstr>
      </vt:variant>
      <vt:variant>
        <vt:lpwstr/>
      </vt:variant>
      <vt:variant>
        <vt:i4>7602288</vt:i4>
      </vt:variant>
      <vt:variant>
        <vt:i4>318</vt:i4>
      </vt:variant>
      <vt:variant>
        <vt:i4>0</vt:i4>
      </vt:variant>
      <vt:variant>
        <vt:i4>5</vt:i4>
      </vt:variant>
      <vt:variant>
        <vt:lpwstr>http://buildgreen.ufl.edu/Fact_ sheet_Cisterns_Rain_Barrels.pdf</vt:lpwstr>
      </vt:variant>
      <vt:variant>
        <vt:lpwstr/>
      </vt:variant>
      <vt:variant>
        <vt:i4>7012429</vt:i4>
      </vt:variant>
      <vt:variant>
        <vt:i4>315</vt:i4>
      </vt:variant>
      <vt:variant>
        <vt:i4>0</vt:i4>
      </vt:variant>
      <vt:variant>
        <vt:i4>5</vt:i4>
      </vt:variant>
      <vt:variant>
        <vt:lpwstr>http://www.epa.gov/owow_keep/NPS/chesbay502/</vt:lpwstr>
      </vt:variant>
      <vt:variant>
        <vt:lpwstr/>
      </vt:variant>
      <vt:variant>
        <vt:i4>786545</vt:i4>
      </vt:variant>
      <vt:variant>
        <vt:i4>312</vt:i4>
      </vt:variant>
      <vt:variant>
        <vt:i4>0</vt:i4>
      </vt:variant>
      <vt:variant>
        <vt:i4>5</vt:i4>
      </vt:variant>
      <vt:variant>
        <vt:lpwstr>http://www.resolv.org/fairfaxcountystormwater/homeowners/cistern_maintenance.pdf</vt:lpwstr>
      </vt:variant>
      <vt:variant>
        <vt:lpwstr/>
      </vt:variant>
      <vt:variant>
        <vt:i4>7602288</vt:i4>
      </vt:variant>
      <vt:variant>
        <vt:i4>309</vt:i4>
      </vt:variant>
      <vt:variant>
        <vt:i4>0</vt:i4>
      </vt:variant>
      <vt:variant>
        <vt:i4>5</vt:i4>
      </vt:variant>
      <vt:variant>
        <vt:lpwstr>http://buildgreen.ufl.edu/Fact_ sheet_Cisterns_Rain_Barrels.pdf</vt:lpwstr>
      </vt:variant>
      <vt:variant>
        <vt:lpwstr/>
      </vt:variant>
      <vt:variant>
        <vt:i4>4063239</vt:i4>
      </vt:variant>
      <vt:variant>
        <vt:i4>306</vt:i4>
      </vt:variant>
      <vt:variant>
        <vt:i4>0</vt:i4>
      </vt:variant>
      <vt:variant>
        <vt:i4>5</vt:i4>
      </vt:variant>
      <vt:variant>
        <vt:lpwstr>http://www.enewsbuilder.net/watercon/e_article001088596.cfm?x=bcD0Ls9,b2PRJJ7l</vt:lpwstr>
      </vt:variant>
      <vt:variant>
        <vt:lpwstr/>
      </vt:variant>
      <vt:variant>
        <vt:i4>6488133</vt:i4>
      </vt:variant>
      <vt:variant>
        <vt:i4>303</vt:i4>
      </vt:variant>
      <vt:variant>
        <vt:i4>0</vt:i4>
      </vt:variant>
      <vt:variant>
        <vt:i4>5</vt:i4>
      </vt:variant>
      <vt:variant>
        <vt:lpwstr>http://www.lid-stormwater.net/raincist_maintain.htm</vt:lpwstr>
      </vt:variant>
      <vt:variant>
        <vt:lpwstr/>
      </vt:variant>
      <vt:variant>
        <vt:i4>1376326</vt:i4>
      </vt:variant>
      <vt:variant>
        <vt:i4>300</vt:i4>
      </vt:variant>
      <vt:variant>
        <vt:i4>0</vt:i4>
      </vt:variant>
      <vt:variant>
        <vt:i4>5</vt:i4>
      </vt:variant>
      <vt:variant>
        <vt:lpwstr>http://www.riverkeeper.org/wp-content/uploads/2009/06/Sustainable-Raindrops-Report-1-8-08.pdf</vt:lpwstr>
      </vt:variant>
      <vt:variant>
        <vt:lpwstr/>
      </vt:variant>
      <vt:variant>
        <vt:i4>5767212</vt:i4>
      </vt:variant>
      <vt:variant>
        <vt:i4>297</vt:i4>
      </vt:variant>
      <vt:variant>
        <vt:i4>0</vt:i4>
      </vt:variant>
      <vt:variant>
        <vt:i4>5</vt:i4>
      </vt:variant>
      <vt:variant>
        <vt:lpwstr>http://www.metrocouncil.org/environment/watershed/BMP/CH3_STInfilOnLot.pdf</vt:lpwstr>
      </vt:variant>
      <vt:variant>
        <vt:lpwstr/>
      </vt:variant>
      <vt:variant>
        <vt:i4>1245190</vt:i4>
      </vt:variant>
      <vt:variant>
        <vt:i4>294</vt:i4>
      </vt:variant>
      <vt:variant>
        <vt:i4>0</vt:i4>
      </vt:variant>
      <vt:variant>
        <vt:i4>5</vt:i4>
      </vt:variant>
      <vt:variant>
        <vt:lpwstr>http://www.dec.ny.gov/chemical/29072.html</vt:lpwstr>
      </vt:variant>
      <vt:variant>
        <vt:lpwstr/>
      </vt:variant>
      <vt:variant>
        <vt:i4>1245190</vt:i4>
      </vt:variant>
      <vt:variant>
        <vt:i4>291</vt:i4>
      </vt:variant>
      <vt:variant>
        <vt:i4>0</vt:i4>
      </vt:variant>
      <vt:variant>
        <vt:i4>5</vt:i4>
      </vt:variant>
      <vt:variant>
        <vt:lpwstr>http://www.dec.ny.gov/chemical/29072.html</vt:lpwstr>
      </vt:variant>
      <vt:variant>
        <vt:lpwstr/>
      </vt:variant>
      <vt:variant>
        <vt:i4>1245190</vt:i4>
      </vt:variant>
      <vt:variant>
        <vt:i4>288</vt:i4>
      </vt:variant>
      <vt:variant>
        <vt:i4>0</vt:i4>
      </vt:variant>
      <vt:variant>
        <vt:i4>5</vt:i4>
      </vt:variant>
      <vt:variant>
        <vt:lpwstr>http://www.dec.ny.gov/chemical/29072.html</vt:lpwstr>
      </vt:variant>
      <vt:variant>
        <vt:lpwstr/>
      </vt:variant>
      <vt:variant>
        <vt:i4>1245190</vt:i4>
      </vt:variant>
      <vt:variant>
        <vt:i4>285</vt:i4>
      </vt:variant>
      <vt:variant>
        <vt:i4>0</vt:i4>
      </vt:variant>
      <vt:variant>
        <vt:i4>5</vt:i4>
      </vt:variant>
      <vt:variant>
        <vt:lpwstr>http://www.dec.ny.gov/chemical/29072.html</vt:lpwstr>
      </vt:variant>
      <vt:variant>
        <vt:lpwstr/>
      </vt:variant>
      <vt:variant>
        <vt:i4>1376326</vt:i4>
      </vt:variant>
      <vt:variant>
        <vt:i4>282</vt:i4>
      </vt:variant>
      <vt:variant>
        <vt:i4>0</vt:i4>
      </vt:variant>
      <vt:variant>
        <vt:i4>5</vt:i4>
      </vt:variant>
      <vt:variant>
        <vt:lpwstr>http://www.riverkeeper.org/wp-content/uploads/2009/06/Sustainable-Raindrops-Report-1-8-08.pdf</vt:lpwstr>
      </vt:variant>
      <vt:variant>
        <vt:lpwstr/>
      </vt:variant>
      <vt:variant>
        <vt:i4>7929898</vt:i4>
      </vt:variant>
      <vt:variant>
        <vt:i4>279</vt:i4>
      </vt:variant>
      <vt:variant>
        <vt:i4>0</vt:i4>
      </vt:variant>
      <vt:variant>
        <vt:i4>5</vt:i4>
      </vt:variant>
      <vt:variant>
        <vt:lpwstr>http://www.ose.state.nm.us/water-info/conservation/rainwater-harvesting.pdf</vt:lpwstr>
      </vt:variant>
      <vt:variant>
        <vt:lpwstr/>
      </vt:variant>
      <vt:variant>
        <vt:i4>1245190</vt:i4>
      </vt:variant>
      <vt:variant>
        <vt:i4>276</vt:i4>
      </vt:variant>
      <vt:variant>
        <vt:i4>0</vt:i4>
      </vt:variant>
      <vt:variant>
        <vt:i4>5</vt:i4>
      </vt:variant>
      <vt:variant>
        <vt:lpwstr>http://www.dec.ny.gov/chemical/29072.html</vt:lpwstr>
      </vt:variant>
      <vt:variant>
        <vt:lpwstr/>
      </vt:variant>
      <vt:variant>
        <vt:i4>7012429</vt:i4>
      </vt:variant>
      <vt:variant>
        <vt:i4>273</vt:i4>
      </vt:variant>
      <vt:variant>
        <vt:i4>0</vt:i4>
      </vt:variant>
      <vt:variant>
        <vt:i4>5</vt:i4>
      </vt:variant>
      <vt:variant>
        <vt:lpwstr>http://www.epa.gov/owow_keep/NPS/chesbay502/</vt:lpwstr>
      </vt:variant>
      <vt:variant>
        <vt:lpwstr/>
      </vt:variant>
      <vt:variant>
        <vt:i4>1245190</vt:i4>
      </vt:variant>
      <vt:variant>
        <vt:i4>270</vt:i4>
      </vt:variant>
      <vt:variant>
        <vt:i4>0</vt:i4>
      </vt:variant>
      <vt:variant>
        <vt:i4>5</vt:i4>
      </vt:variant>
      <vt:variant>
        <vt:lpwstr>http://www.dec.ny.gov/chemical/29072.html</vt:lpwstr>
      </vt:variant>
      <vt:variant>
        <vt:lpwstr/>
      </vt:variant>
      <vt:variant>
        <vt:i4>1376326</vt:i4>
      </vt:variant>
      <vt:variant>
        <vt:i4>267</vt:i4>
      </vt:variant>
      <vt:variant>
        <vt:i4>0</vt:i4>
      </vt:variant>
      <vt:variant>
        <vt:i4>5</vt:i4>
      </vt:variant>
      <vt:variant>
        <vt:lpwstr>http://www.riverkeeper.org/wp-content/uploads/2009/06/Sustainable-Raindrops-Report-1-8-08.pdf</vt:lpwstr>
      </vt:variant>
      <vt:variant>
        <vt:lpwstr/>
      </vt:variant>
      <vt:variant>
        <vt:i4>655380</vt:i4>
      </vt:variant>
      <vt:variant>
        <vt:i4>264</vt:i4>
      </vt:variant>
      <vt:variant>
        <vt:i4>0</vt:i4>
      </vt:variant>
      <vt:variant>
        <vt:i4>5</vt:i4>
      </vt:variant>
      <vt:variant>
        <vt:lpwstr>http://www.chesapeakestormwater.net/storage/first-draft-baywide-design-specificationsi/BAYWIDE No 7 PERMEABLE PAVERS.pdf</vt:lpwstr>
      </vt:variant>
      <vt:variant>
        <vt:lpwstr/>
      </vt:variant>
      <vt:variant>
        <vt:i4>2031620</vt:i4>
      </vt:variant>
      <vt:variant>
        <vt:i4>261</vt:i4>
      </vt:variant>
      <vt:variant>
        <vt:i4>0</vt:i4>
      </vt:variant>
      <vt:variant>
        <vt:i4>5</vt:i4>
      </vt:variant>
      <vt:variant>
        <vt:lpwstr>http://www.bae.ncsu.edu/info/permeable-pavement/</vt:lpwstr>
      </vt:variant>
      <vt:variant>
        <vt:lpwstr/>
      </vt:variant>
      <vt:variant>
        <vt:i4>7471183</vt:i4>
      </vt:variant>
      <vt:variant>
        <vt:i4>258</vt:i4>
      </vt:variant>
      <vt:variant>
        <vt:i4>0</vt:i4>
      </vt:variant>
      <vt:variant>
        <vt:i4>5</vt:i4>
      </vt:variant>
      <vt:variant>
        <vt:lpwstr>http://www.unh.edu/erg/cstev/pubs_specs_info/unhsc_pa_spec_posted_06_09.pdf</vt:lpwstr>
      </vt:variant>
      <vt:variant>
        <vt:lpwstr/>
      </vt:variant>
      <vt:variant>
        <vt:i4>3539050</vt:i4>
      </vt:variant>
      <vt:variant>
        <vt:i4>255</vt:i4>
      </vt:variant>
      <vt:variant>
        <vt:i4>0</vt:i4>
      </vt:variant>
      <vt:variant>
        <vt:i4>5</vt:i4>
      </vt:variant>
      <vt:variant>
        <vt:lpwstr>http://www.ci.chula-vista.ca.us/City_Services/Development_Services/Engineering/ PDF Files/ StormWaterManual/B-10.pdf</vt:lpwstr>
      </vt:variant>
      <vt:variant>
        <vt:lpwstr/>
      </vt:variant>
      <vt:variant>
        <vt:i4>5111900</vt:i4>
      </vt:variant>
      <vt:variant>
        <vt:i4>252</vt:i4>
      </vt:variant>
      <vt:variant>
        <vt:i4>0</vt:i4>
      </vt:variant>
      <vt:variant>
        <vt:i4>5</vt:i4>
      </vt:variant>
      <vt:variant>
        <vt:lpwstr>http://www.cabmphandbooks.com/Documents/Development/SD-20.pdf</vt:lpwstr>
      </vt:variant>
      <vt:variant>
        <vt:lpwstr/>
      </vt:variant>
      <vt:variant>
        <vt:i4>2097248</vt:i4>
      </vt:variant>
      <vt:variant>
        <vt:i4>249</vt:i4>
      </vt:variant>
      <vt:variant>
        <vt:i4>0</vt:i4>
      </vt:variant>
      <vt:variant>
        <vt:i4>5</vt:i4>
      </vt:variant>
      <vt:variant>
        <vt:lpwstr>http://www.stormwatercenter.net/Assorted Fact Sheets/Tool6_Stormwater_Practices/Infiltration Practice/Porous Pavement.htm</vt:lpwstr>
      </vt:variant>
      <vt:variant>
        <vt:lpwstr/>
      </vt:variant>
      <vt:variant>
        <vt:i4>2097248</vt:i4>
      </vt:variant>
      <vt:variant>
        <vt:i4>246</vt:i4>
      </vt:variant>
      <vt:variant>
        <vt:i4>0</vt:i4>
      </vt:variant>
      <vt:variant>
        <vt:i4>5</vt:i4>
      </vt:variant>
      <vt:variant>
        <vt:lpwstr>http://www.stormwatercenter.net/Assorted Fact Sheets/Tool6_Stormwater_Practices/Infiltration Practice/Porous Pavement.htm</vt:lpwstr>
      </vt:variant>
      <vt:variant>
        <vt:lpwstr/>
      </vt:variant>
      <vt:variant>
        <vt:i4>2752554</vt:i4>
      </vt:variant>
      <vt:variant>
        <vt:i4>243</vt:i4>
      </vt:variant>
      <vt:variant>
        <vt:i4>0</vt:i4>
      </vt:variant>
      <vt:variant>
        <vt:i4>5</vt:i4>
      </vt:variant>
      <vt:variant>
        <vt:lpwstr>http://www.elibrary.dep.state.pa.us/dsweb/View/Collection-8305</vt:lpwstr>
      </vt:variant>
      <vt:variant>
        <vt:lpwstr/>
      </vt:variant>
      <vt:variant>
        <vt:i4>1245190</vt:i4>
      </vt:variant>
      <vt:variant>
        <vt:i4>240</vt:i4>
      </vt:variant>
      <vt:variant>
        <vt:i4>0</vt:i4>
      </vt:variant>
      <vt:variant>
        <vt:i4>5</vt:i4>
      </vt:variant>
      <vt:variant>
        <vt:lpwstr>http://www.dec.ny.gov/chemical/29072.html</vt:lpwstr>
      </vt:variant>
      <vt:variant>
        <vt:lpwstr/>
      </vt:variant>
      <vt:variant>
        <vt:i4>1441827</vt:i4>
      </vt:variant>
      <vt:variant>
        <vt:i4>237</vt:i4>
      </vt:variant>
      <vt:variant>
        <vt:i4>0</vt:i4>
      </vt:variant>
      <vt:variant>
        <vt:i4>5</vt:i4>
      </vt:variant>
      <vt:variant>
        <vt:lpwstr>http://cfpub.epa.gov/npdes/stormwater/menuofbmps/index.cfm?action=factsheet_results&amp;view=specific&amp;bmp=135&amp;minmeasure=5</vt:lpwstr>
      </vt:variant>
      <vt:variant>
        <vt:lpwstr/>
      </vt:variant>
      <vt:variant>
        <vt:i4>5177413</vt:i4>
      </vt:variant>
      <vt:variant>
        <vt:i4>234</vt:i4>
      </vt:variant>
      <vt:variant>
        <vt:i4>0</vt:i4>
      </vt:variant>
      <vt:variant>
        <vt:i4>5</vt:i4>
      </vt:variant>
      <vt:variant>
        <vt:lpwstr>http://www.cnt.org/repository/GreenInfrastructureReportCivicFederation 10-07.pdf</vt:lpwstr>
      </vt:variant>
      <vt:variant>
        <vt:lpwstr/>
      </vt:variant>
      <vt:variant>
        <vt:i4>5177413</vt:i4>
      </vt:variant>
      <vt:variant>
        <vt:i4>231</vt:i4>
      </vt:variant>
      <vt:variant>
        <vt:i4>0</vt:i4>
      </vt:variant>
      <vt:variant>
        <vt:i4>5</vt:i4>
      </vt:variant>
      <vt:variant>
        <vt:lpwstr>http://www.cnt.org/repository/GreenInfrastructureReportCivicFederation 10-07.pdf</vt:lpwstr>
      </vt:variant>
      <vt:variant>
        <vt:lpwstr/>
      </vt:variant>
      <vt:variant>
        <vt:i4>1245190</vt:i4>
      </vt:variant>
      <vt:variant>
        <vt:i4>228</vt:i4>
      </vt:variant>
      <vt:variant>
        <vt:i4>0</vt:i4>
      </vt:variant>
      <vt:variant>
        <vt:i4>5</vt:i4>
      </vt:variant>
      <vt:variant>
        <vt:lpwstr>http://www.dec.ny.gov/chemical/29072.html</vt:lpwstr>
      </vt:variant>
      <vt:variant>
        <vt:lpwstr/>
      </vt:variant>
      <vt:variant>
        <vt:i4>1245190</vt:i4>
      </vt:variant>
      <vt:variant>
        <vt:i4>225</vt:i4>
      </vt:variant>
      <vt:variant>
        <vt:i4>0</vt:i4>
      </vt:variant>
      <vt:variant>
        <vt:i4>5</vt:i4>
      </vt:variant>
      <vt:variant>
        <vt:lpwstr>http://www.dec.ny.gov/chemical/29072.html</vt:lpwstr>
      </vt:variant>
      <vt:variant>
        <vt:lpwstr/>
      </vt:variant>
      <vt:variant>
        <vt:i4>2752554</vt:i4>
      </vt:variant>
      <vt:variant>
        <vt:i4>222</vt:i4>
      </vt:variant>
      <vt:variant>
        <vt:i4>0</vt:i4>
      </vt:variant>
      <vt:variant>
        <vt:i4>5</vt:i4>
      </vt:variant>
      <vt:variant>
        <vt:lpwstr>http://www.elibrary.dep.state.pa.us/dsweb/View/Collection-8305</vt:lpwstr>
      </vt:variant>
      <vt:variant>
        <vt:lpwstr/>
      </vt:variant>
      <vt:variant>
        <vt:i4>1441827</vt:i4>
      </vt:variant>
      <vt:variant>
        <vt:i4>219</vt:i4>
      </vt:variant>
      <vt:variant>
        <vt:i4>0</vt:i4>
      </vt:variant>
      <vt:variant>
        <vt:i4>5</vt:i4>
      </vt:variant>
      <vt:variant>
        <vt:lpwstr>http://cfpub.epa.gov/npdes/stormwater/menuofbmps/index.cfm?action=factsheet_results&amp;view=specific&amp;bmp=135&amp;minmeasure=5</vt:lpwstr>
      </vt:variant>
      <vt:variant>
        <vt:lpwstr/>
      </vt:variant>
      <vt:variant>
        <vt:i4>1441827</vt:i4>
      </vt:variant>
      <vt:variant>
        <vt:i4>216</vt:i4>
      </vt:variant>
      <vt:variant>
        <vt:i4>0</vt:i4>
      </vt:variant>
      <vt:variant>
        <vt:i4>5</vt:i4>
      </vt:variant>
      <vt:variant>
        <vt:lpwstr>http://cfpub.epa.gov/npdes/stormwater/menuofbmps/index.cfm?action=factsheet_results&amp;view=specific&amp;bmp=135&amp;minmeasure=5</vt:lpwstr>
      </vt:variant>
      <vt:variant>
        <vt:lpwstr/>
      </vt:variant>
      <vt:variant>
        <vt:i4>1245190</vt:i4>
      </vt:variant>
      <vt:variant>
        <vt:i4>213</vt:i4>
      </vt:variant>
      <vt:variant>
        <vt:i4>0</vt:i4>
      </vt:variant>
      <vt:variant>
        <vt:i4>5</vt:i4>
      </vt:variant>
      <vt:variant>
        <vt:lpwstr>http://www.dec.ny.gov/chemical/29072.html</vt:lpwstr>
      </vt:variant>
      <vt:variant>
        <vt:lpwstr/>
      </vt:variant>
      <vt:variant>
        <vt:i4>1245190</vt:i4>
      </vt:variant>
      <vt:variant>
        <vt:i4>210</vt:i4>
      </vt:variant>
      <vt:variant>
        <vt:i4>0</vt:i4>
      </vt:variant>
      <vt:variant>
        <vt:i4>5</vt:i4>
      </vt:variant>
      <vt:variant>
        <vt:lpwstr>http://www.dec.ny.gov/chemical/29072.html</vt:lpwstr>
      </vt:variant>
      <vt:variant>
        <vt:lpwstr/>
      </vt:variant>
      <vt:variant>
        <vt:i4>5636118</vt:i4>
      </vt:variant>
      <vt:variant>
        <vt:i4>207</vt:i4>
      </vt:variant>
      <vt:variant>
        <vt:i4>0</vt:i4>
      </vt:variant>
      <vt:variant>
        <vt:i4>5</vt:i4>
      </vt:variant>
      <vt:variant>
        <vt:lpwstr>http://www.sustainindy.org/assets/uploads/4.7 Swales.pdf</vt:lpwstr>
      </vt:variant>
      <vt:variant>
        <vt:lpwstr/>
      </vt:variant>
      <vt:variant>
        <vt:i4>2359423</vt:i4>
      </vt:variant>
      <vt:variant>
        <vt:i4>204</vt:i4>
      </vt:variant>
      <vt:variant>
        <vt:i4>0</vt:i4>
      </vt:variant>
      <vt:variant>
        <vt:i4>5</vt:i4>
      </vt:variant>
      <vt:variant>
        <vt:lpwstr>http://buildgreen.ufl.edu/Fact_sheet_Bioswales_Vegetated_Swales.pdf</vt:lpwstr>
      </vt:variant>
      <vt:variant>
        <vt:lpwstr/>
      </vt:variant>
      <vt:variant>
        <vt:i4>7012411</vt:i4>
      </vt:variant>
      <vt:variant>
        <vt:i4>201</vt:i4>
      </vt:variant>
      <vt:variant>
        <vt:i4>0</vt:i4>
      </vt:variant>
      <vt:variant>
        <vt:i4>5</vt:i4>
      </vt:variant>
      <vt:variant>
        <vt:lpwstr>http://www.chesapeakestormwater.net/storage/first-draft-baywide-design-specificationsi/BAYWIDE No 3 GRASS CHANNEL SPECIFICATION.pdf</vt:lpwstr>
      </vt:variant>
      <vt:variant>
        <vt:lpwstr/>
      </vt:variant>
      <vt:variant>
        <vt:i4>4194393</vt:i4>
      </vt:variant>
      <vt:variant>
        <vt:i4>198</vt:i4>
      </vt:variant>
      <vt:variant>
        <vt:i4>0</vt:i4>
      </vt:variant>
      <vt:variant>
        <vt:i4>5</vt:i4>
      </vt:variant>
      <vt:variant>
        <vt:lpwstr>http://www.ci.chula-vista.ca.us/City_Services/ Development_Services/Engineering/ PDF Files/ StormWaterManual/B-13.pdf</vt:lpwstr>
      </vt:variant>
      <vt:variant>
        <vt:lpwstr/>
      </vt:variant>
      <vt:variant>
        <vt:i4>1245190</vt:i4>
      </vt:variant>
      <vt:variant>
        <vt:i4>195</vt:i4>
      </vt:variant>
      <vt:variant>
        <vt:i4>0</vt:i4>
      </vt:variant>
      <vt:variant>
        <vt:i4>5</vt:i4>
      </vt:variant>
      <vt:variant>
        <vt:lpwstr>http://www.dec.ny.gov/chemical/29072.html</vt:lpwstr>
      </vt:variant>
      <vt:variant>
        <vt:lpwstr/>
      </vt:variant>
      <vt:variant>
        <vt:i4>7995504</vt:i4>
      </vt:variant>
      <vt:variant>
        <vt:i4>192</vt:i4>
      </vt:variant>
      <vt:variant>
        <vt:i4>0</vt:i4>
      </vt:variant>
      <vt:variant>
        <vt:i4>5</vt:i4>
      </vt:variant>
      <vt:variant>
        <vt:lpwstr>http://www.stormwatercenter.net/Assorted Fact Sheets/Tool6_Stormwater_Practices/Open Channel Practice/Grassed Channel.htm</vt:lpwstr>
      </vt:variant>
      <vt:variant>
        <vt:lpwstr/>
      </vt:variant>
      <vt:variant>
        <vt:i4>2752554</vt:i4>
      </vt:variant>
      <vt:variant>
        <vt:i4>189</vt:i4>
      </vt:variant>
      <vt:variant>
        <vt:i4>0</vt:i4>
      </vt:variant>
      <vt:variant>
        <vt:i4>5</vt:i4>
      </vt:variant>
      <vt:variant>
        <vt:lpwstr>http://www.elibrary.dep.state.pa.us/dsweb/View/Collection-8305</vt:lpwstr>
      </vt:variant>
      <vt:variant>
        <vt:lpwstr/>
      </vt:variant>
      <vt:variant>
        <vt:i4>2883609</vt:i4>
      </vt:variant>
      <vt:variant>
        <vt:i4>186</vt:i4>
      </vt:variant>
      <vt:variant>
        <vt:i4>0</vt:i4>
      </vt:variant>
      <vt:variant>
        <vt:i4>5</vt:i4>
      </vt:variant>
      <vt:variant>
        <vt:lpwstr>http://cfpub.epa.gov/npdes/stormwater/menuofbmps/index.cfm?action=factsheet_results&amp;view=specific&amp;bmp=75&amp;minmeasure=5</vt:lpwstr>
      </vt:variant>
      <vt:variant>
        <vt:lpwstr/>
      </vt:variant>
      <vt:variant>
        <vt:i4>2752554</vt:i4>
      </vt:variant>
      <vt:variant>
        <vt:i4>183</vt:i4>
      </vt:variant>
      <vt:variant>
        <vt:i4>0</vt:i4>
      </vt:variant>
      <vt:variant>
        <vt:i4>5</vt:i4>
      </vt:variant>
      <vt:variant>
        <vt:lpwstr>http://www.elibrary.dep.state.pa.us/dsweb/View/Collection-8305</vt:lpwstr>
      </vt:variant>
      <vt:variant>
        <vt:lpwstr/>
      </vt:variant>
      <vt:variant>
        <vt:i4>1703943</vt:i4>
      </vt:variant>
      <vt:variant>
        <vt:i4>180</vt:i4>
      </vt:variant>
      <vt:variant>
        <vt:i4>0</vt:i4>
      </vt:variant>
      <vt:variant>
        <vt:i4>5</vt:i4>
      </vt:variant>
      <vt:variant>
        <vt:lpwstr>http://www.nrdc.org/water/pollution/rooftops/contents.asp</vt:lpwstr>
      </vt:variant>
      <vt:variant>
        <vt:lpwstr/>
      </vt:variant>
      <vt:variant>
        <vt:i4>2883609</vt:i4>
      </vt:variant>
      <vt:variant>
        <vt:i4>177</vt:i4>
      </vt:variant>
      <vt:variant>
        <vt:i4>0</vt:i4>
      </vt:variant>
      <vt:variant>
        <vt:i4>5</vt:i4>
      </vt:variant>
      <vt:variant>
        <vt:lpwstr>http://cfpub.epa.gov/npdes/stormwater/menuofbmps/index.cfm?action=factsheet_results&amp;view=specific&amp;bmp=75&amp;minmeasure=5</vt:lpwstr>
      </vt:variant>
      <vt:variant>
        <vt:lpwstr/>
      </vt:variant>
      <vt:variant>
        <vt:i4>2883609</vt:i4>
      </vt:variant>
      <vt:variant>
        <vt:i4>174</vt:i4>
      </vt:variant>
      <vt:variant>
        <vt:i4>0</vt:i4>
      </vt:variant>
      <vt:variant>
        <vt:i4>5</vt:i4>
      </vt:variant>
      <vt:variant>
        <vt:lpwstr>http://cfpub.epa.gov/npdes/stormwater/menuofbmps/index.cfm?action=factsheet_results&amp;view=specific&amp;bmp=75&amp;minmeasure=5</vt:lpwstr>
      </vt:variant>
      <vt:variant>
        <vt:lpwstr/>
      </vt:variant>
      <vt:variant>
        <vt:i4>8126510</vt:i4>
      </vt:variant>
      <vt:variant>
        <vt:i4>171</vt:i4>
      </vt:variant>
      <vt:variant>
        <vt:i4>0</vt:i4>
      </vt:variant>
      <vt:variant>
        <vt:i4>5</vt:i4>
      </vt:variant>
      <vt:variant>
        <vt:lpwstr>http://www.crwa.org/projects/bmpfactsheets/crwa_vegetated_swale.pdf</vt:lpwstr>
      </vt:variant>
      <vt:variant>
        <vt:lpwstr/>
      </vt:variant>
      <vt:variant>
        <vt:i4>2883609</vt:i4>
      </vt:variant>
      <vt:variant>
        <vt:i4>168</vt:i4>
      </vt:variant>
      <vt:variant>
        <vt:i4>0</vt:i4>
      </vt:variant>
      <vt:variant>
        <vt:i4>5</vt:i4>
      </vt:variant>
      <vt:variant>
        <vt:lpwstr>http://cfpub.epa.gov/npdes/stormwater/menuofbmps/index.cfm?action=factsheet_results&amp;view=specific&amp;bmp=75&amp;minmeasure=5</vt:lpwstr>
      </vt:variant>
      <vt:variant>
        <vt:lpwstr/>
      </vt:variant>
      <vt:variant>
        <vt:i4>2752554</vt:i4>
      </vt:variant>
      <vt:variant>
        <vt:i4>165</vt:i4>
      </vt:variant>
      <vt:variant>
        <vt:i4>0</vt:i4>
      </vt:variant>
      <vt:variant>
        <vt:i4>5</vt:i4>
      </vt:variant>
      <vt:variant>
        <vt:lpwstr>http://www.elibrary.dep.state.pa.us/dsweb/View/Collection-8305</vt:lpwstr>
      </vt:variant>
      <vt:variant>
        <vt:lpwstr/>
      </vt:variant>
      <vt:variant>
        <vt:i4>393236</vt:i4>
      </vt:variant>
      <vt:variant>
        <vt:i4>162</vt:i4>
      </vt:variant>
      <vt:variant>
        <vt:i4>0</vt:i4>
      </vt:variant>
      <vt:variant>
        <vt:i4>5</vt:i4>
      </vt:variant>
      <vt:variant>
        <vt:lpwstr>http://www.tredyffrin.org/pdf/publicworks/CH2 - BMP2 Vegetated Swale.pdf</vt:lpwstr>
      </vt:variant>
      <vt:variant>
        <vt:lpwstr/>
      </vt:variant>
      <vt:variant>
        <vt:i4>2883609</vt:i4>
      </vt:variant>
      <vt:variant>
        <vt:i4>159</vt:i4>
      </vt:variant>
      <vt:variant>
        <vt:i4>0</vt:i4>
      </vt:variant>
      <vt:variant>
        <vt:i4>5</vt:i4>
      </vt:variant>
      <vt:variant>
        <vt:lpwstr>http://cfpub.epa.gov/npdes/stormwater/menuofbmps/index.cfm?action=factsheet_results&amp;view=specific&amp;bmp=75&amp;minmeasure=5</vt:lpwstr>
      </vt:variant>
      <vt:variant>
        <vt:lpwstr/>
      </vt:variant>
      <vt:variant>
        <vt:i4>2752554</vt:i4>
      </vt:variant>
      <vt:variant>
        <vt:i4>156</vt:i4>
      </vt:variant>
      <vt:variant>
        <vt:i4>0</vt:i4>
      </vt:variant>
      <vt:variant>
        <vt:i4>5</vt:i4>
      </vt:variant>
      <vt:variant>
        <vt:lpwstr>http://www.elibrary.dep.state.pa.us/dsweb/View/Collection-8305</vt:lpwstr>
      </vt:variant>
      <vt:variant>
        <vt:lpwstr/>
      </vt:variant>
      <vt:variant>
        <vt:i4>2883609</vt:i4>
      </vt:variant>
      <vt:variant>
        <vt:i4>153</vt:i4>
      </vt:variant>
      <vt:variant>
        <vt:i4>0</vt:i4>
      </vt:variant>
      <vt:variant>
        <vt:i4>5</vt:i4>
      </vt:variant>
      <vt:variant>
        <vt:lpwstr>http://cfpub.epa.gov/npdes/stormwater/menuofbmps/index.cfm?action=factsheet_results&amp;view=specific&amp;bmp=75&amp;minmeasure=5</vt:lpwstr>
      </vt:variant>
      <vt:variant>
        <vt:lpwstr/>
      </vt:variant>
      <vt:variant>
        <vt:i4>6225936</vt:i4>
      </vt:variant>
      <vt:variant>
        <vt:i4>150</vt:i4>
      </vt:variant>
      <vt:variant>
        <vt:i4>0</vt:i4>
      </vt:variant>
      <vt:variant>
        <vt:i4>5</vt:i4>
      </vt:variant>
      <vt:variant>
        <vt:lpwstr>http://www.chesapeakestormwater.net/storage/first-draft-baywide-design-specificationsi/BAYWIDE No 9 BIORETENTION DESIGN SPECIFICATION.pdf</vt:lpwstr>
      </vt:variant>
      <vt:variant>
        <vt:lpwstr/>
      </vt:variant>
      <vt:variant>
        <vt:i4>1900567</vt:i4>
      </vt:variant>
      <vt:variant>
        <vt:i4>147</vt:i4>
      </vt:variant>
      <vt:variant>
        <vt:i4>0</vt:i4>
      </vt:variant>
      <vt:variant>
        <vt:i4>5</vt:i4>
      </vt:variant>
      <vt:variant>
        <vt:lpwstr>http://www.princegeorgescountymd.gov/der/bioretention.asp</vt:lpwstr>
      </vt:variant>
      <vt:variant>
        <vt:lpwstr/>
      </vt:variant>
      <vt:variant>
        <vt:i4>8061032</vt:i4>
      </vt:variant>
      <vt:variant>
        <vt:i4>144</vt:i4>
      </vt:variant>
      <vt:variant>
        <vt:i4>0</vt:i4>
      </vt:variant>
      <vt:variant>
        <vt:i4>5</vt:i4>
      </vt:variant>
      <vt:variant>
        <vt:lpwstr>http://www.bae.ncsu.edu/topic/bioretention/</vt:lpwstr>
      </vt:variant>
      <vt:variant>
        <vt:lpwstr/>
      </vt:variant>
      <vt:variant>
        <vt:i4>68</vt:i4>
      </vt:variant>
      <vt:variant>
        <vt:i4>141</vt:i4>
      </vt:variant>
      <vt:variant>
        <vt:i4>0</vt:i4>
      </vt:variant>
      <vt:variant>
        <vt:i4>5</vt:i4>
      </vt:variant>
      <vt:variant>
        <vt:lpwstr>http://dnr.wi.gov/runoff/stormwater/technote.htm</vt:lpwstr>
      </vt:variant>
      <vt:variant>
        <vt:lpwstr/>
      </vt:variant>
      <vt:variant>
        <vt:i4>1835088</vt:i4>
      </vt:variant>
      <vt:variant>
        <vt:i4>138</vt:i4>
      </vt:variant>
      <vt:variant>
        <vt:i4>0</vt:i4>
      </vt:variant>
      <vt:variant>
        <vt:i4>5</vt:i4>
      </vt:variant>
      <vt:variant>
        <vt:lpwstr>http://www.ci.chula-vista.ca.us/City_Services/ Development_Services/Engineering/ PDF Files/ StormWaterManual/B-1.pdf</vt:lpwstr>
      </vt:variant>
      <vt:variant>
        <vt:lpwstr/>
      </vt:variant>
      <vt:variant>
        <vt:i4>2949156</vt:i4>
      </vt:variant>
      <vt:variant>
        <vt:i4>135</vt:i4>
      </vt:variant>
      <vt:variant>
        <vt:i4>0</vt:i4>
      </vt:variant>
      <vt:variant>
        <vt:i4>5</vt:i4>
      </vt:variant>
      <vt:variant>
        <vt:lpwstr>http://www.lrrb.org/pdf/200523.pdf</vt:lpwstr>
      </vt:variant>
      <vt:variant>
        <vt:lpwstr/>
      </vt:variant>
      <vt:variant>
        <vt:i4>655450</vt:i4>
      </vt:variant>
      <vt:variant>
        <vt:i4>132</vt:i4>
      </vt:variant>
      <vt:variant>
        <vt:i4>0</vt:i4>
      </vt:variant>
      <vt:variant>
        <vt:i4>5</vt:i4>
      </vt:variant>
      <vt:variant>
        <vt:lpwstr>http://dnr.wi.gov/org/water/wm/dsfm/shore/documents/rgmanual.pdf</vt:lpwstr>
      </vt:variant>
      <vt:variant>
        <vt:lpwstr/>
      </vt:variant>
      <vt:variant>
        <vt:i4>3997752</vt:i4>
      </vt:variant>
      <vt:variant>
        <vt:i4>129</vt:i4>
      </vt:variant>
      <vt:variant>
        <vt:i4>0</vt:i4>
      </vt:variant>
      <vt:variant>
        <vt:i4>5</vt:i4>
      </vt:variant>
      <vt:variant>
        <vt:lpwstr>http://www.groundwater.org/ta/raingardens.html</vt:lpwstr>
      </vt:variant>
      <vt:variant>
        <vt:lpwstr/>
      </vt:variant>
      <vt:variant>
        <vt:i4>2818073</vt:i4>
      </vt:variant>
      <vt:variant>
        <vt:i4>126</vt:i4>
      </vt:variant>
      <vt:variant>
        <vt:i4>0</vt:i4>
      </vt:variant>
      <vt:variant>
        <vt:i4>5</vt:i4>
      </vt:variant>
      <vt:variant>
        <vt:lpwstr>http://cfpub.epa.gov/npdes/stormwater/menuofbmps/index.cfm?action=factsheet_results&amp;view=specific&amp;bmp=72&amp;minmeasure=5</vt:lpwstr>
      </vt:variant>
      <vt:variant>
        <vt:lpwstr/>
      </vt:variant>
      <vt:variant>
        <vt:i4>2752554</vt:i4>
      </vt:variant>
      <vt:variant>
        <vt:i4>123</vt:i4>
      </vt:variant>
      <vt:variant>
        <vt:i4>0</vt:i4>
      </vt:variant>
      <vt:variant>
        <vt:i4>5</vt:i4>
      </vt:variant>
      <vt:variant>
        <vt:lpwstr>http://www.elibrary.dep.state.pa.us/dsweb/View/Collection-8305</vt:lpwstr>
      </vt:variant>
      <vt:variant>
        <vt:lpwstr/>
      </vt:variant>
      <vt:variant>
        <vt:i4>1703943</vt:i4>
      </vt:variant>
      <vt:variant>
        <vt:i4>120</vt:i4>
      </vt:variant>
      <vt:variant>
        <vt:i4>0</vt:i4>
      </vt:variant>
      <vt:variant>
        <vt:i4>5</vt:i4>
      </vt:variant>
      <vt:variant>
        <vt:lpwstr>http://www.nrdc.org/water/pollution/rooftops/contents.asp</vt:lpwstr>
      </vt:variant>
      <vt:variant>
        <vt:lpwstr/>
      </vt:variant>
      <vt:variant>
        <vt:i4>5177413</vt:i4>
      </vt:variant>
      <vt:variant>
        <vt:i4>117</vt:i4>
      </vt:variant>
      <vt:variant>
        <vt:i4>0</vt:i4>
      </vt:variant>
      <vt:variant>
        <vt:i4>5</vt:i4>
      </vt:variant>
      <vt:variant>
        <vt:lpwstr>http://www.cnt.org/repository/GreenInfrastructureReportCivicFederation 10-07.pdf</vt:lpwstr>
      </vt:variant>
      <vt:variant>
        <vt:lpwstr/>
      </vt:variant>
      <vt:variant>
        <vt:i4>1245190</vt:i4>
      </vt:variant>
      <vt:variant>
        <vt:i4>114</vt:i4>
      </vt:variant>
      <vt:variant>
        <vt:i4>0</vt:i4>
      </vt:variant>
      <vt:variant>
        <vt:i4>5</vt:i4>
      </vt:variant>
      <vt:variant>
        <vt:lpwstr>http://www.dec.ny.gov/chemical/29072.html</vt:lpwstr>
      </vt:variant>
      <vt:variant>
        <vt:lpwstr/>
      </vt:variant>
      <vt:variant>
        <vt:i4>2818073</vt:i4>
      </vt:variant>
      <vt:variant>
        <vt:i4>111</vt:i4>
      </vt:variant>
      <vt:variant>
        <vt:i4>0</vt:i4>
      </vt:variant>
      <vt:variant>
        <vt:i4>5</vt:i4>
      </vt:variant>
      <vt:variant>
        <vt:lpwstr>http://cfpub.epa.gov/npdes/stormwater/menuofbmps/index.cfm?action=factsheet_results&amp;view=specific&amp;bmp=72&amp;minmeasure=5</vt:lpwstr>
      </vt:variant>
      <vt:variant>
        <vt:lpwstr/>
      </vt:variant>
      <vt:variant>
        <vt:i4>7405642</vt:i4>
      </vt:variant>
      <vt:variant>
        <vt:i4>108</vt:i4>
      </vt:variant>
      <vt:variant>
        <vt:i4>0</vt:i4>
      </vt:variant>
      <vt:variant>
        <vt:i4>5</vt:i4>
      </vt:variant>
      <vt:variant>
        <vt:lpwstr>http://cfpub.epa.gov/npdes/stormwater/menuofbmps/index.cfm?action=factsheet_results&amp;view=specific&amp;bmp=72</vt:lpwstr>
      </vt:variant>
      <vt:variant>
        <vt:lpwstr/>
      </vt:variant>
      <vt:variant>
        <vt:i4>1245190</vt:i4>
      </vt:variant>
      <vt:variant>
        <vt:i4>105</vt:i4>
      </vt:variant>
      <vt:variant>
        <vt:i4>0</vt:i4>
      </vt:variant>
      <vt:variant>
        <vt:i4>5</vt:i4>
      </vt:variant>
      <vt:variant>
        <vt:lpwstr>http://www.dec.ny.gov/chemical/29072.html</vt:lpwstr>
      </vt:variant>
      <vt:variant>
        <vt:lpwstr/>
      </vt:variant>
      <vt:variant>
        <vt:i4>2818160</vt:i4>
      </vt:variant>
      <vt:variant>
        <vt:i4>102</vt:i4>
      </vt:variant>
      <vt:variant>
        <vt:i4>0</vt:i4>
      </vt:variant>
      <vt:variant>
        <vt:i4>5</vt:i4>
      </vt:variant>
      <vt:variant>
        <vt:lpwstr>http://www.epa.gov/owow_keep/NPS/toolbox/other/cwc_raingardenbrochure.pdf</vt:lpwstr>
      </vt:variant>
      <vt:variant>
        <vt:lpwstr/>
      </vt:variant>
      <vt:variant>
        <vt:i4>1245190</vt:i4>
      </vt:variant>
      <vt:variant>
        <vt:i4>99</vt:i4>
      </vt:variant>
      <vt:variant>
        <vt:i4>0</vt:i4>
      </vt:variant>
      <vt:variant>
        <vt:i4>5</vt:i4>
      </vt:variant>
      <vt:variant>
        <vt:lpwstr>http://www.dec.ny.gov/chemical/29072.html</vt:lpwstr>
      </vt:variant>
      <vt:variant>
        <vt:lpwstr/>
      </vt:variant>
      <vt:variant>
        <vt:i4>2752554</vt:i4>
      </vt:variant>
      <vt:variant>
        <vt:i4>96</vt:i4>
      </vt:variant>
      <vt:variant>
        <vt:i4>0</vt:i4>
      </vt:variant>
      <vt:variant>
        <vt:i4>5</vt:i4>
      </vt:variant>
      <vt:variant>
        <vt:lpwstr>http://www.elibrary.dep.state.pa.us/dsweb/View/Collection-8305</vt:lpwstr>
      </vt:variant>
      <vt:variant>
        <vt:lpwstr/>
      </vt:variant>
      <vt:variant>
        <vt:i4>655450</vt:i4>
      </vt:variant>
      <vt:variant>
        <vt:i4>93</vt:i4>
      </vt:variant>
      <vt:variant>
        <vt:i4>0</vt:i4>
      </vt:variant>
      <vt:variant>
        <vt:i4>5</vt:i4>
      </vt:variant>
      <vt:variant>
        <vt:lpwstr>http://dnr.wi.gov/org/water/wm/dsfm/shore/documents/rgmanual.pdf</vt:lpwstr>
      </vt:variant>
      <vt:variant>
        <vt:lpwstr/>
      </vt:variant>
      <vt:variant>
        <vt:i4>1245190</vt:i4>
      </vt:variant>
      <vt:variant>
        <vt:i4>90</vt:i4>
      </vt:variant>
      <vt:variant>
        <vt:i4>0</vt:i4>
      </vt:variant>
      <vt:variant>
        <vt:i4>5</vt:i4>
      </vt:variant>
      <vt:variant>
        <vt:lpwstr>http://www.dec.ny.gov/chemical/29072.html</vt:lpwstr>
      </vt:variant>
      <vt:variant>
        <vt:lpwstr/>
      </vt:variant>
      <vt:variant>
        <vt:i4>2818160</vt:i4>
      </vt:variant>
      <vt:variant>
        <vt:i4>87</vt:i4>
      </vt:variant>
      <vt:variant>
        <vt:i4>0</vt:i4>
      </vt:variant>
      <vt:variant>
        <vt:i4>5</vt:i4>
      </vt:variant>
      <vt:variant>
        <vt:lpwstr>http://www.epa.gov/owow_keep/NPS/toolbox/other/cwc_raingardenbrochure.pdf</vt:lpwstr>
      </vt:variant>
      <vt:variant>
        <vt:lpwstr/>
      </vt:variant>
      <vt:variant>
        <vt:i4>1245190</vt:i4>
      </vt:variant>
      <vt:variant>
        <vt:i4>84</vt:i4>
      </vt:variant>
      <vt:variant>
        <vt:i4>0</vt:i4>
      </vt:variant>
      <vt:variant>
        <vt:i4>5</vt:i4>
      </vt:variant>
      <vt:variant>
        <vt:lpwstr>http://www.dec.ny.gov/chemical/29072.html</vt:lpwstr>
      </vt:variant>
      <vt:variant>
        <vt:lpwstr/>
      </vt:variant>
      <vt:variant>
        <vt:i4>2752569</vt:i4>
      </vt:variant>
      <vt:variant>
        <vt:i4>81</vt:i4>
      </vt:variant>
      <vt:variant>
        <vt:i4>0</vt:i4>
      </vt:variant>
      <vt:variant>
        <vt:i4>5</vt:i4>
      </vt:variant>
      <vt:variant>
        <vt:lpwstr>http://www.chesapeakestormwater.net/storage/first-draft-baywide-design-specificationsi/BAYWIDE No 5 GREEN ROOF DESIGN SPECFICATION.pdf</vt:lpwstr>
      </vt:variant>
      <vt:variant>
        <vt:lpwstr/>
      </vt:variant>
      <vt:variant>
        <vt:i4>1835022</vt:i4>
      </vt:variant>
      <vt:variant>
        <vt:i4>78</vt:i4>
      </vt:variant>
      <vt:variant>
        <vt:i4>0</vt:i4>
      </vt:variant>
      <vt:variant>
        <vt:i4>5</vt:i4>
      </vt:variant>
      <vt:variant>
        <vt:lpwstr>http://horticulture.psu.edu/cms/greenroofcenter/</vt:lpwstr>
      </vt:variant>
      <vt:variant>
        <vt:lpwstr/>
      </vt:variant>
      <vt:variant>
        <vt:i4>2949244</vt:i4>
      </vt:variant>
      <vt:variant>
        <vt:i4>75</vt:i4>
      </vt:variant>
      <vt:variant>
        <vt:i4>0</vt:i4>
      </vt:variant>
      <vt:variant>
        <vt:i4>5</vt:i4>
      </vt:variant>
      <vt:variant>
        <vt:lpwstr>http://www.bae.ncsu.edu/greenroofs/</vt:lpwstr>
      </vt:variant>
      <vt:variant>
        <vt:lpwstr/>
      </vt:variant>
      <vt:variant>
        <vt:i4>4325469</vt:i4>
      </vt:variant>
      <vt:variant>
        <vt:i4>72</vt:i4>
      </vt:variant>
      <vt:variant>
        <vt:i4>0</vt:i4>
      </vt:variant>
      <vt:variant>
        <vt:i4>5</vt:i4>
      </vt:variant>
      <vt:variant>
        <vt:lpwstr>http://www.greenroofs.org/index.php/greensavecalc</vt:lpwstr>
      </vt:variant>
      <vt:variant>
        <vt:lpwstr/>
      </vt:variant>
      <vt:variant>
        <vt:i4>983040</vt:i4>
      </vt:variant>
      <vt:variant>
        <vt:i4>69</vt:i4>
      </vt:variant>
      <vt:variant>
        <vt:i4>0</vt:i4>
      </vt:variant>
      <vt:variant>
        <vt:i4>5</vt:i4>
      </vt:variant>
      <vt:variant>
        <vt:lpwstr>http://greenroofs.org/grtok/</vt:lpwstr>
      </vt:variant>
      <vt:variant>
        <vt:lpwstr/>
      </vt:variant>
      <vt:variant>
        <vt:i4>4194309</vt:i4>
      </vt:variant>
      <vt:variant>
        <vt:i4>66</vt:i4>
      </vt:variant>
      <vt:variant>
        <vt:i4>0</vt:i4>
      </vt:variant>
      <vt:variant>
        <vt:i4>5</vt:i4>
      </vt:variant>
      <vt:variant>
        <vt:lpwstr>http://www.portlandonline.com/BES/index.cfm?a=261053&amp;c=50818</vt:lpwstr>
      </vt:variant>
      <vt:variant>
        <vt:lpwstr/>
      </vt:variant>
      <vt:variant>
        <vt:i4>1245190</vt:i4>
      </vt:variant>
      <vt:variant>
        <vt:i4>63</vt:i4>
      </vt:variant>
      <vt:variant>
        <vt:i4>0</vt:i4>
      </vt:variant>
      <vt:variant>
        <vt:i4>5</vt:i4>
      </vt:variant>
      <vt:variant>
        <vt:lpwstr>http://www.dec.ny.gov/chemical/29072.html</vt:lpwstr>
      </vt:variant>
      <vt:variant>
        <vt:lpwstr/>
      </vt:variant>
      <vt:variant>
        <vt:i4>1376326</vt:i4>
      </vt:variant>
      <vt:variant>
        <vt:i4>60</vt:i4>
      </vt:variant>
      <vt:variant>
        <vt:i4>0</vt:i4>
      </vt:variant>
      <vt:variant>
        <vt:i4>5</vt:i4>
      </vt:variant>
      <vt:variant>
        <vt:lpwstr>http://www.riverkeeper.org/wp-content/uploads/2009/06/Sustainable-Raindrops-Report-1-8-08.pdf</vt:lpwstr>
      </vt:variant>
      <vt:variant>
        <vt:lpwstr/>
      </vt:variant>
      <vt:variant>
        <vt:i4>1245190</vt:i4>
      </vt:variant>
      <vt:variant>
        <vt:i4>57</vt:i4>
      </vt:variant>
      <vt:variant>
        <vt:i4>0</vt:i4>
      </vt:variant>
      <vt:variant>
        <vt:i4>5</vt:i4>
      </vt:variant>
      <vt:variant>
        <vt:lpwstr>http://www.dec.ny.gov/chemical/29072.html</vt:lpwstr>
      </vt:variant>
      <vt:variant>
        <vt:lpwstr/>
      </vt:variant>
      <vt:variant>
        <vt:i4>1245190</vt:i4>
      </vt:variant>
      <vt:variant>
        <vt:i4>54</vt:i4>
      </vt:variant>
      <vt:variant>
        <vt:i4>0</vt:i4>
      </vt:variant>
      <vt:variant>
        <vt:i4>5</vt:i4>
      </vt:variant>
      <vt:variant>
        <vt:lpwstr>http://www.dec.ny.gov/chemical/29072.html</vt:lpwstr>
      </vt:variant>
      <vt:variant>
        <vt:lpwstr/>
      </vt:variant>
      <vt:variant>
        <vt:i4>2752554</vt:i4>
      </vt:variant>
      <vt:variant>
        <vt:i4>51</vt:i4>
      </vt:variant>
      <vt:variant>
        <vt:i4>0</vt:i4>
      </vt:variant>
      <vt:variant>
        <vt:i4>5</vt:i4>
      </vt:variant>
      <vt:variant>
        <vt:lpwstr>http://www.elibrary.dep.state.pa.us/dsweb/View/Collection-8305</vt:lpwstr>
      </vt:variant>
      <vt:variant>
        <vt:lpwstr/>
      </vt:variant>
      <vt:variant>
        <vt:i4>1703943</vt:i4>
      </vt:variant>
      <vt:variant>
        <vt:i4>48</vt:i4>
      </vt:variant>
      <vt:variant>
        <vt:i4>0</vt:i4>
      </vt:variant>
      <vt:variant>
        <vt:i4>5</vt:i4>
      </vt:variant>
      <vt:variant>
        <vt:lpwstr>http://www.nrdc.org/water/pollution/rooftops/contents.asp</vt:lpwstr>
      </vt:variant>
      <vt:variant>
        <vt:lpwstr/>
      </vt:variant>
      <vt:variant>
        <vt:i4>1703943</vt:i4>
      </vt:variant>
      <vt:variant>
        <vt:i4>45</vt:i4>
      </vt:variant>
      <vt:variant>
        <vt:i4>0</vt:i4>
      </vt:variant>
      <vt:variant>
        <vt:i4>5</vt:i4>
      </vt:variant>
      <vt:variant>
        <vt:lpwstr>http://www.nrdc.org/water/pollution/rooftops/contents.asp</vt:lpwstr>
      </vt:variant>
      <vt:variant>
        <vt:lpwstr/>
      </vt:variant>
      <vt:variant>
        <vt:i4>1376326</vt:i4>
      </vt:variant>
      <vt:variant>
        <vt:i4>42</vt:i4>
      </vt:variant>
      <vt:variant>
        <vt:i4>0</vt:i4>
      </vt:variant>
      <vt:variant>
        <vt:i4>5</vt:i4>
      </vt:variant>
      <vt:variant>
        <vt:lpwstr>http://www.riverkeeper.org/wp-content/uploads/2009/06/Sustainable-Raindrops-Report-1-8-08.pdf</vt:lpwstr>
      </vt:variant>
      <vt:variant>
        <vt:lpwstr/>
      </vt:variant>
      <vt:variant>
        <vt:i4>589847</vt:i4>
      </vt:variant>
      <vt:variant>
        <vt:i4>39</vt:i4>
      </vt:variant>
      <vt:variant>
        <vt:i4>0</vt:i4>
      </vt:variant>
      <vt:variant>
        <vt:i4>5</vt:i4>
      </vt:variant>
      <vt:variant>
        <vt:lpwstr>http://www.epa.gov/nrmrl/pubs/600r09026/600r09026.pdf</vt:lpwstr>
      </vt:variant>
      <vt:variant>
        <vt:lpwstr/>
      </vt:variant>
      <vt:variant>
        <vt:i4>589847</vt:i4>
      </vt:variant>
      <vt:variant>
        <vt:i4>36</vt:i4>
      </vt:variant>
      <vt:variant>
        <vt:i4>0</vt:i4>
      </vt:variant>
      <vt:variant>
        <vt:i4>5</vt:i4>
      </vt:variant>
      <vt:variant>
        <vt:lpwstr>http://www.epa.gov/nrmrl/pubs/600r09026/600r09026.pdf</vt:lpwstr>
      </vt:variant>
      <vt:variant>
        <vt:lpwstr/>
      </vt:variant>
      <vt:variant>
        <vt:i4>589847</vt:i4>
      </vt:variant>
      <vt:variant>
        <vt:i4>33</vt:i4>
      </vt:variant>
      <vt:variant>
        <vt:i4>0</vt:i4>
      </vt:variant>
      <vt:variant>
        <vt:i4>5</vt:i4>
      </vt:variant>
      <vt:variant>
        <vt:lpwstr>http://www.epa.gov/nrmrl/pubs/600r09026/600r09026.pdf</vt:lpwstr>
      </vt:variant>
      <vt:variant>
        <vt:lpwstr/>
      </vt:variant>
      <vt:variant>
        <vt:i4>1835013</vt:i4>
      </vt:variant>
      <vt:variant>
        <vt:i4>30</vt:i4>
      </vt:variant>
      <vt:variant>
        <vt:i4>0</vt:i4>
      </vt:variant>
      <vt:variant>
        <vt:i4>5</vt:i4>
      </vt:variant>
      <vt:variant>
        <vt:lpwstr>http://www.sciencedaily.com/releases/2005/11/051126141309.htm</vt:lpwstr>
      </vt:variant>
      <vt:variant>
        <vt:lpwstr/>
      </vt:variant>
      <vt:variant>
        <vt:i4>3670061</vt:i4>
      </vt:variant>
      <vt:variant>
        <vt:i4>27</vt:i4>
      </vt:variant>
      <vt:variant>
        <vt:i4>0</vt:i4>
      </vt:variant>
      <vt:variant>
        <vt:i4>5</vt:i4>
      </vt:variant>
      <vt:variant>
        <vt:lpwstr>http://www.buildings.com/ArticleDetails/tabid/3321/ArticleID/3187/Default.aspx</vt:lpwstr>
      </vt:variant>
      <vt:variant>
        <vt:lpwstr/>
      </vt:variant>
      <vt:variant>
        <vt:i4>4194309</vt:i4>
      </vt:variant>
      <vt:variant>
        <vt:i4>24</vt:i4>
      </vt:variant>
      <vt:variant>
        <vt:i4>0</vt:i4>
      </vt:variant>
      <vt:variant>
        <vt:i4>5</vt:i4>
      </vt:variant>
      <vt:variant>
        <vt:lpwstr>http://www.portlandonline.com/BES/index.cfm?a=261053&amp;c=50818</vt:lpwstr>
      </vt:variant>
      <vt:variant>
        <vt:lpwstr/>
      </vt:variant>
      <vt:variant>
        <vt:i4>1245190</vt:i4>
      </vt:variant>
      <vt:variant>
        <vt:i4>21</vt:i4>
      </vt:variant>
      <vt:variant>
        <vt:i4>0</vt:i4>
      </vt:variant>
      <vt:variant>
        <vt:i4>5</vt:i4>
      </vt:variant>
      <vt:variant>
        <vt:lpwstr>http://www.dec.ny.gov/chemical/29072.html</vt:lpwstr>
      </vt:variant>
      <vt:variant>
        <vt:lpwstr/>
      </vt:variant>
      <vt:variant>
        <vt:i4>1703943</vt:i4>
      </vt:variant>
      <vt:variant>
        <vt:i4>18</vt:i4>
      </vt:variant>
      <vt:variant>
        <vt:i4>0</vt:i4>
      </vt:variant>
      <vt:variant>
        <vt:i4>5</vt:i4>
      </vt:variant>
      <vt:variant>
        <vt:lpwstr>http://www.nrdc.org/water/pollution/rooftops/contents.asp</vt:lpwstr>
      </vt:variant>
      <vt:variant>
        <vt:lpwstr/>
      </vt:variant>
      <vt:variant>
        <vt:i4>4194309</vt:i4>
      </vt:variant>
      <vt:variant>
        <vt:i4>15</vt:i4>
      </vt:variant>
      <vt:variant>
        <vt:i4>0</vt:i4>
      </vt:variant>
      <vt:variant>
        <vt:i4>5</vt:i4>
      </vt:variant>
      <vt:variant>
        <vt:lpwstr>http://www.portlandonline.com/BES/index.cfm?a=261053&amp;c=50818</vt:lpwstr>
      </vt:variant>
      <vt:variant>
        <vt:lpwstr/>
      </vt:variant>
      <vt:variant>
        <vt:i4>589847</vt:i4>
      </vt:variant>
      <vt:variant>
        <vt:i4>12</vt:i4>
      </vt:variant>
      <vt:variant>
        <vt:i4>0</vt:i4>
      </vt:variant>
      <vt:variant>
        <vt:i4>5</vt:i4>
      </vt:variant>
      <vt:variant>
        <vt:lpwstr>http://www.epa.gov/nrmrl/pubs/600r09026/600r09026.pdf</vt:lpwstr>
      </vt:variant>
      <vt:variant>
        <vt:lpwstr/>
      </vt:variant>
      <vt:variant>
        <vt:i4>1245190</vt:i4>
      </vt:variant>
      <vt:variant>
        <vt:i4>9</vt:i4>
      </vt:variant>
      <vt:variant>
        <vt:i4>0</vt:i4>
      </vt:variant>
      <vt:variant>
        <vt:i4>5</vt:i4>
      </vt:variant>
      <vt:variant>
        <vt:lpwstr>http://www.dec.ny.gov/chemical/29072.html</vt:lpwstr>
      </vt:variant>
      <vt:variant>
        <vt:lpwstr/>
      </vt:variant>
      <vt:variant>
        <vt:i4>589847</vt:i4>
      </vt:variant>
      <vt:variant>
        <vt:i4>6</vt:i4>
      </vt:variant>
      <vt:variant>
        <vt:i4>0</vt:i4>
      </vt:variant>
      <vt:variant>
        <vt:i4>5</vt:i4>
      </vt:variant>
      <vt:variant>
        <vt:lpwstr>http://www.epa.gov/nrmrl/pubs/600r09026/600r09026.pdf</vt:lpwstr>
      </vt:variant>
      <vt:variant>
        <vt:lpwstr/>
      </vt:variant>
      <vt:variant>
        <vt:i4>1245190</vt:i4>
      </vt:variant>
      <vt:variant>
        <vt:i4>3</vt:i4>
      </vt:variant>
      <vt:variant>
        <vt:i4>0</vt:i4>
      </vt:variant>
      <vt:variant>
        <vt:i4>5</vt:i4>
      </vt:variant>
      <vt:variant>
        <vt:lpwstr>http://www.dec.ny.gov/chemical/29072.html</vt:lpwstr>
      </vt:variant>
      <vt:variant>
        <vt:lpwstr/>
      </vt:variant>
      <vt:variant>
        <vt:i4>1245190</vt:i4>
      </vt:variant>
      <vt:variant>
        <vt:i4>0</vt:i4>
      </vt:variant>
      <vt:variant>
        <vt:i4>0</vt:i4>
      </vt:variant>
      <vt:variant>
        <vt:i4>5</vt:i4>
      </vt:variant>
      <vt:variant>
        <vt:lpwstr>http://www.dec.ny.gov/chemical/29072.html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LTCP-EZ - Template</dc:title>
  <dc:subject/>
  <dc:creator>LimnoTech, Inc.</dc:creator>
  <cp:keywords/>
  <cp:lastModifiedBy>Billah, Mohammed</cp:lastModifiedBy>
  <cp:revision>2</cp:revision>
  <cp:lastPrinted>2011-02-15T19:25:00Z</cp:lastPrinted>
  <dcterms:created xsi:type="dcterms:W3CDTF">2016-12-01T13:39:00Z</dcterms:created>
  <dcterms:modified xsi:type="dcterms:W3CDTF">2016-12-01T13:39:00Z</dcterms:modified>
</cp:coreProperties>
</file>