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28370" w14:textId="77777777" w:rsidR="0042446E" w:rsidRDefault="0042446E" w:rsidP="0042446E">
      <w:pPr>
        <w:pStyle w:val="Title"/>
        <w:jc w:val="center"/>
        <w:rPr>
          <w:b/>
          <w:sz w:val="28"/>
          <w:szCs w:val="28"/>
        </w:rPr>
      </w:pPr>
      <w:bookmarkStart w:id="0" w:name="_GoBack"/>
      <w:bookmarkEnd w:id="0"/>
      <w:r w:rsidRPr="0042446E">
        <w:rPr>
          <w:b/>
          <w:sz w:val="28"/>
          <w:szCs w:val="28"/>
        </w:rPr>
        <w:t>United States Environmental Protection Agency</w:t>
      </w:r>
    </w:p>
    <w:p w14:paraId="2499491D" w14:textId="77777777" w:rsidR="0042446E" w:rsidRPr="0042446E" w:rsidRDefault="0042446E" w:rsidP="0042446E">
      <w:pPr>
        <w:pStyle w:val="Title"/>
        <w:jc w:val="center"/>
        <w:rPr>
          <w:b/>
          <w:sz w:val="28"/>
          <w:szCs w:val="28"/>
        </w:rPr>
      </w:pPr>
      <w:r w:rsidRPr="0042446E">
        <w:rPr>
          <w:b/>
          <w:sz w:val="28"/>
          <w:szCs w:val="28"/>
        </w:rPr>
        <w:t xml:space="preserve">National Advisory Council for Environmental Policy and Technology </w:t>
      </w:r>
    </w:p>
    <w:p w14:paraId="2796A6E4" w14:textId="77777777" w:rsidR="0042446E" w:rsidRDefault="0056733D" w:rsidP="0042446E">
      <w:pPr>
        <w:pStyle w:val="Title"/>
        <w:jc w:val="center"/>
        <w:rPr>
          <w:b/>
          <w:sz w:val="28"/>
          <w:szCs w:val="28"/>
        </w:rPr>
      </w:pPr>
      <w:r w:rsidRPr="0042446E">
        <w:rPr>
          <w:b/>
          <w:sz w:val="28"/>
          <w:szCs w:val="28"/>
        </w:rPr>
        <w:t>Assumable Waters Subcommittee</w:t>
      </w:r>
    </w:p>
    <w:p w14:paraId="598D4BFF" w14:textId="77777777" w:rsidR="0042446E" w:rsidRPr="0042446E" w:rsidRDefault="0042446E" w:rsidP="0042446E">
      <w:pPr>
        <w:pBdr>
          <w:bottom w:val="single" w:sz="4" w:space="1" w:color="auto"/>
        </w:pBdr>
        <w:spacing w:before="0"/>
      </w:pPr>
    </w:p>
    <w:p w14:paraId="1CA9674E" w14:textId="25695C00" w:rsidR="0009722C" w:rsidRPr="0042446E" w:rsidRDefault="0056733D" w:rsidP="0042446E">
      <w:pPr>
        <w:pStyle w:val="Title"/>
        <w:spacing w:before="240" w:after="360"/>
        <w:jc w:val="center"/>
        <w:rPr>
          <w:b/>
          <w:sz w:val="28"/>
          <w:szCs w:val="28"/>
        </w:rPr>
      </w:pPr>
      <w:r w:rsidRPr="0042446E">
        <w:rPr>
          <w:b/>
          <w:sz w:val="28"/>
          <w:szCs w:val="28"/>
        </w:rPr>
        <w:t>Opera</w:t>
      </w:r>
      <w:r w:rsidR="004D5832">
        <w:rPr>
          <w:b/>
          <w:sz w:val="28"/>
          <w:szCs w:val="28"/>
        </w:rPr>
        <w:t>ting Procedures and Safe Guards</w:t>
      </w:r>
    </w:p>
    <w:p w14:paraId="72073EB5" w14:textId="7AD16F2B" w:rsidR="00541BBC" w:rsidRPr="004D5832" w:rsidRDefault="005433C6" w:rsidP="00541BBC">
      <w:pPr>
        <w:pStyle w:val="ListParagraph"/>
        <w:numPr>
          <w:ilvl w:val="0"/>
          <w:numId w:val="17"/>
        </w:numPr>
        <w:rPr>
          <w:b/>
        </w:rPr>
      </w:pPr>
      <w:r w:rsidRPr="004D5832">
        <w:rPr>
          <w:b/>
        </w:rPr>
        <w:t xml:space="preserve"> Introduction</w:t>
      </w:r>
    </w:p>
    <w:p w14:paraId="5EA93178" w14:textId="359E5F3E" w:rsidR="00541BBC" w:rsidRDefault="00541BBC" w:rsidP="00EF12E6">
      <w:pPr>
        <w:ind w:left="360"/>
      </w:pPr>
      <w:r>
        <w:t xml:space="preserve">Section 404(g) of the Clean Water Act (CWA) lays out the requirements for the assumption and implementation of state and tribal CWA section 404 permitting programs. Congress, with the addition of CWA section 404(g), made clear that states and tribes wishing to assume administration of the dredge and fill permit program, could do so for certain waters. This Subcommittee under the National Advisory Council for Environmental Policy and Technology (NACEPT) will focus on a very narrow and specific charge related to </w:t>
      </w:r>
      <w:r w:rsidR="005B2B87">
        <w:t xml:space="preserve">the </w:t>
      </w:r>
      <w:r>
        <w:t xml:space="preserve">waters </w:t>
      </w:r>
      <w:r w:rsidR="005B2B87">
        <w:t xml:space="preserve">for which </w:t>
      </w:r>
      <w:r>
        <w:t xml:space="preserve">a state or tribe </w:t>
      </w:r>
      <w:r w:rsidR="005B2B87">
        <w:t xml:space="preserve">may </w:t>
      </w:r>
      <w:r>
        <w:t>assume permitting responsibility</w:t>
      </w:r>
      <w:r w:rsidR="005B2B87">
        <w:t>.</w:t>
      </w:r>
      <w:r>
        <w:t xml:space="preserve"> To be known as the “Assumable Waters Subcommittee,” (Subcommittee), the Subcommittee will be asked to provide advice and develop recommendations </w:t>
      </w:r>
      <w:r w:rsidR="00334A2C">
        <w:t xml:space="preserve">for NACEPT </w:t>
      </w:r>
      <w:r>
        <w:t>on how the U.S. Environmental Protection Agency (EPA) can best clarify for which waters the state/tribe has CWA section 404 permit responsibilities, and for which waters the USACE retains CWA section 404 permit responsibility, under an approved state/tribal program.</w:t>
      </w:r>
      <w:r w:rsidR="006F488A">
        <w:t xml:space="preserve"> </w:t>
      </w:r>
      <w:r w:rsidR="00EF12E6">
        <w:t>This subcommittee</w:t>
      </w:r>
      <w:r>
        <w:t xml:space="preserve"> is</w:t>
      </w:r>
      <w:r w:rsidR="00FE2F59">
        <w:t xml:space="preserve"> consistent with</w:t>
      </w:r>
      <w:r>
        <w:t xml:space="preserve"> the Administrator’s priorit</w:t>
      </w:r>
      <w:r w:rsidR="005B2B87">
        <w:t>y</w:t>
      </w:r>
      <w:r>
        <w:t xml:space="preserve"> </w:t>
      </w:r>
      <w:r w:rsidR="00FE2F59">
        <w:t>to launch</w:t>
      </w:r>
      <w:r w:rsidR="005B2B87">
        <w:t xml:space="preserve"> a new era of state and tribal partnership to ensure the efficacy, efficiency, and coordination of overlapping and complimentary efforts</w:t>
      </w:r>
      <w:r>
        <w:t xml:space="preserve">. Specifically, this </w:t>
      </w:r>
      <w:r w:rsidR="00EF12E6">
        <w:t xml:space="preserve">subcommittee </w:t>
      </w:r>
      <w:r>
        <w:t xml:space="preserve">effort will address the states’ request to provide clarity on this issue enabling them to assess and determine the geographic scope and costs associated with implementing an approved program. </w:t>
      </w:r>
    </w:p>
    <w:p w14:paraId="75FAF3FC" w14:textId="25DF60EC" w:rsidR="008151D2" w:rsidRPr="004D5832" w:rsidRDefault="008151D2" w:rsidP="00027CA1">
      <w:pPr>
        <w:pStyle w:val="ListParagraph"/>
        <w:numPr>
          <w:ilvl w:val="0"/>
          <w:numId w:val="17"/>
        </w:numPr>
        <w:rPr>
          <w:b/>
        </w:rPr>
      </w:pPr>
      <w:r w:rsidRPr="004D5832">
        <w:rPr>
          <w:b/>
        </w:rPr>
        <w:t>Authority</w:t>
      </w:r>
    </w:p>
    <w:p w14:paraId="1BDBB218" w14:textId="78FCF2A4" w:rsidR="00541BBC" w:rsidRDefault="00541BBC" w:rsidP="00AB57F6">
      <w:pPr>
        <w:ind w:left="360"/>
      </w:pPr>
      <w:r>
        <w:t xml:space="preserve">The NACEPT is a Federal Advisory Committee chartered under the Federal Advisory Committee Act (FACA), Public Law 92–463. The EPA established the NACEPT in 1988 to provide advice to the EPA Administrator on a broad range of environmental policy, management, and technology issues. The EPA </w:t>
      </w:r>
      <w:r w:rsidR="005433C6">
        <w:t>has formed</w:t>
      </w:r>
      <w:r>
        <w:t xml:space="preserve"> a subcommittee</w:t>
      </w:r>
      <w:r w:rsidR="005433C6">
        <w:t>,</w:t>
      </w:r>
      <w:r w:rsidRPr="00095FDC">
        <w:t xml:space="preserve"> known as the</w:t>
      </w:r>
      <w:r>
        <w:t xml:space="preserve"> </w:t>
      </w:r>
      <w:r w:rsidRPr="00095FDC">
        <w:t xml:space="preserve">Assumable Waters Subcommittee </w:t>
      </w:r>
      <w:r>
        <w:t xml:space="preserve">(Subcommittee) </w:t>
      </w:r>
      <w:r w:rsidRPr="00095FDC">
        <w:t>to</w:t>
      </w:r>
      <w:r>
        <w:t xml:space="preserve"> </w:t>
      </w:r>
      <w:r w:rsidRPr="00095FDC">
        <w:t xml:space="preserve">provide advice </w:t>
      </w:r>
      <w:r w:rsidR="00334A2C">
        <w:t xml:space="preserve">to NACEPT </w:t>
      </w:r>
      <w:r w:rsidRPr="00095FDC">
        <w:t>on how the EPA can best</w:t>
      </w:r>
      <w:r>
        <w:t xml:space="preserve"> </w:t>
      </w:r>
      <w:r w:rsidRPr="00095FDC">
        <w:t>clarify the waters that a state or tribe</w:t>
      </w:r>
      <w:r>
        <w:t xml:space="preserve"> </w:t>
      </w:r>
      <w:r w:rsidRPr="00095FDC">
        <w:t>may assume permitting responsibility</w:t>
      </w:r>
      <w:r>
        <w:t xml:space="preserve"> </w:t>
      </w:r>
      <w:r w:rsidRPr="00095FDC">
        <w:t>for u</w:t>
      </w:r>
      <w:r>
        <w:t xml:space="preserve">nder an approved CWA </w:t>
      </w:r>
      <w:r w:rsidRPr="00095FDC">
        <w:t>dredge and fill permit program.</w:t>
      </w:r>
      <w:r>
        <w:t xml:space="preserve"> </w:t>
      </w:r>
      <w:r w:rsidRPr="00095FDC">
        <w:t>Subcommittee members, like the parent</w:t>
      </w:r>
      <w:r>
        <w:t xml:space="preserve"> </w:t>
      </w:r>
      <w:r w:rsidRPr="00095FDC">
        <w:t>NACEPT committee, serve as</w:t>
      </w:r>
      <w:r>
        <w:t xml:space="preserve"> </w:t>
      </w:r>
      <w:r w:rsidR="00AD7389">
        <w:t>representatives from</w:t>
      </w:r>
      <w:r>
        <w:t xml:space="preserve"> </w:t>
      </w:r>
      <w:r w:rsidR="00AD7389">
        <w:t>industry;</w:t>
      </w:r>
      <w:r w:rsidRPr="00095FDC">
        <w:t xml:space="preserve"> non-governmental</w:t>
      </w:r>
      <w:r>
        <w:t xml:space="preserve"> </w:t>
      </w:r>
      <w:r w:rsidR="00AD7389">
        <w:t>organizations;</w:t>
      </w:r>
      <w:r w:rsidRPr="00095FDC">
        <w:t xml:space="preserve"> and </w:t>
      </w:r>
      <w:r>
        <w:t xml:space="preserve">federal, </w:t>
      </w:r>
      <w:r w:rsidRPr="00095FDC">
        <w:t xml:space="preserve">state, </w:t>
      </w:r>
      <w:r>
        <w:t xml:space="preserve">tribal, and </w:t>
      </w:r>
      <w:r w:rsidRPr="00095FDC">
        <w:t xml:space="preserve">local governments. </w:t>
      </w:r>
    </w:p>
    <w:p w14:paraId="3F807C2D" w14:textId="601AD0B4" w:rsidR="00541BBC" w:rsidRDefault="004D5832" w:rsidP="00AB57F6">
      <w:pPr>
        <w:ind w:left="360"/>
      </w:pPr>
      <w:r>
        <w:t>The s</w:t>
      </w:r>
      <w:r w:rsidR="00541BBC" w:rsidRPr="00095FDC">
        <w:t>ubcommittee</w:t>
      </w:r>
      <w:r w:rsidR="00541BBC">
        <w:t xml:space="preserve"> </w:t>
      </w:r>
      <w:r w:rsidR="00541BBC" w:rsidRPr="00095FDC">
        <w:t>will have a limited duration and narrow</w:t>
      </w:r>
      <w:r w:rsidR="00541BBC">
        <w:t xml:space="preserve"> </w:t>
      </w:r>
      <w:r w:rsidR="00541BBC" w:rsidRPr="00095FDC">
        <w:t>focus. Other aspects of state or tribal</w:t>
      </w:r>
      <w:r w:rsidR="00541BBC">
        <w:t xml:space="preserve"> </w:t>
      </w:r>
      <w:r w:rsidR="00541BBC" w:rsidRPr="00095FDC">
        <w:t xml:space="preserve">assumption will not be </w:t>
      </w:r>
      <w:r w:rsidR="00541BBC">
        <w:t>with</w:t>
      </w:r>
      <w:r w:rsidR="00541BBC" w:rsidRPr="00095FDC">
        <w:t xml:space="preserve">in </w:t>
      </w:r>
      <w:r w:rsidR="00541BBC">
        <w:t xml:space="preserve">the </w:t>
      </w:r>
      <w:r w:rsidR="00541BBC" w:rsidRPr="00095FDC">
        <w:t xml:space="preserve">scope </w:t>
      </w:r>
      <w:r w:rsidR="00541BBC">
        <w:t xml:space="preserve">of </w:t>
      </w:r>
      <w:r w:rsidR="00541BBC" w:rsidRPr="00095FDC">
        <w:t>the</w:t>
      </w:r>
      <w:r w:rsidR="00541BBC">
        <w:t xml:space="preserve"> deliberations for this Subcommittee</w:t>
      </w:r>
      <w:r w:rsidR="00541BBC" w:rsidRPr="00095FDC">
        <w:t>. For example, the</w:t>
      </w:r>
      <w:r w:rsidR="00541BBC">
        <w:t xml:space="preserve"> S</w:t>
      </w:r>
      <w:r w:rsidR="00541BBC" w:rsidRPr="00095FDC">
        <w:t>ubcommittee will not be deliberating</w:t>
      </w:r>
      <w:r w:rsidR="00541BBC">
        <w:t xml:space="preserve"> </w:t>
      </w:r>
      <w:r w:rsidR="00541BBC" w:rsidRPr="00095FDC">
        <w:t>on the merits of assumption</w:t>
      </w:r>
      <w:r w:rsidR="00541BBC">
        <w:t>, nor on any aspect of the larger question of which waters are “waters of the U.S</w:t>
      </w:r>
      <w:r w:rsidR="00541BBC" w:rsidRPr="00095FDC">
        <w:t>.</w:t>
      </w:r>
      <w:r w:rsidR="00541BBC">
        <w:t>”</w:t>
      </w:r>
      <w:r w:rsidR="00541BBC" w:rsidRPr="00095FDC">
        <w:t xml:space="preserve"> It will</w:t>
      </w:r>
      <w:r w:rsidR="00541BBC">
        <w:t xml:space="preserve"> </w:t>
      </w:r>
      <w:r w:rsidR="00541BBC" w:rsidRPr="00095FDC">
        <w:t xml:space="preserve">focus on </w:t>
      </w:r>
      <w:r w:rsidR="00541BBC" w:rsidRPr="00095FDC">
        <w:lastRenderedPageBreak/>
        <w:t>how the EPA can clarify the</w:t>
      </w:r>
      <w:r w:rsidR="00541BBC">
        <w:t xml:space="preserve"> </w:t>
      </w:r>
      <w:r w:rsidR="00541BBC" w:rsidRPr="00095FDC">
        <w:t xml:space="preserve">waters for which a state or tribe </w:t>
      </w:r>
      <w:r w:rsidR="00541BBC">
        <w:t>assumes CWA</w:t>
      </w:r>
      <w:r w:rsidR="00541BBC" w:rsidRPr="00095FDC">
        <w:t xml:space="preserve"> </w:t>
      </w:r>
      <w:r w:rsidR="00541BBC">
        <w:t>s</w:t>
      </w:r>
      <w:r w:rsidR="00541BBC" w:rsidRPr="00095FDC">
        <w:t>ection 404</w:t>
      </w:r>
      <w:r w:rsidR="00541BBC" w:rsidRPr="00095FDC">
        <w:rPr>
          <w:rFonts w:ascii="Melior" w:hAnsi="Melior" w:cs="Melior"/>
          <w:sz w:val="18"/>
          <w:szCs w:val="18"/>
        </w:rPr>
        <w:t xml:space="preserve"> </w:t>
      </w:r>
      <w:r w:rsidR="00541BBC" w:rsidRPr="00095FDC">
        <w:t xml:space="preserve">permitting responsibility and </w:t>
      </w:r>
      <w:r w:rsidR="00541BBC">
        <w:t xml:space="preserve">for which waters </w:t>
      </w:r>
      <w:r w:rsidR="00541BBC" w:rsidRPr="00095FDC">
        <w:t xml:space="preserve">the </w:t>
      </w:r>
      <w:r w:rsidR="00541BBC">
        <w:t xml:space="preserve">USACE will </w:t>
      </w:r>
      <w:r w:rsidR="00541BBC" w:rsidRPr="00095FDC">
        <w:t>retain this authority.</w:t>
      </w:r>
    </w:p>
    <w:p w14:paraId="08517CEA" w14:textId="1DE222A4" w:rsidR="001C5FA2" w:rsidRPr="004E25B6" w:rsidRDefault="00AC1CA5" w:rsidP="001C5FA2">
      <w:pPr>
        <w:pStyle w:val="NormalBold"/>
        <w:rPr>
          <w:color w:val="365F91" w:themeColor="accent1" w:themeShade="BF"/>
        </w:rPr>
      </w:pPr>
      <w:r>
        <w:t xml:space="preserve">      </w:t>
      </w:r>
      <w:r w:rsidR="001C5FA2">
        <w:t>II</w:t>
      </w:r>
      <w:r w:rsidR="004D5832">
        <w:t>I</w:t>
      </w:r>
      <w:r w:rsidR="001C5FA2" w:rsidRPr="002D5166">
        <w:t>. Objectives and Scope of Activities</w:t>
      </w:r>
      <w:r w:rsidR="001C5FA2">
        <w:t xml:space="preserve"> </w:t>
      </w:r>
    </w:p>
    <w:p w14:paraId="3931D6B4" w14:textId="3F144E23" w:rsidR="001C5FA2" w:rsidRDefault="001C5FA2" w:rsidP="00AD7389">
      <w:pPr>
        <w:ind w:left="360"/>
      </w:pPr>
      <w:r>
        <w:t>The final Subc</w:t>
      </w:r>
      <w:r w:rsidR="005433C6">
        <w:t>ommittee report to NACEPT may</w:t>
      </w:r>
      <w:r>
        <w:t xml:space="preserve"> provide advice and recommendations on how </w:t>
      </w:r>
      <w:r w:rsidR="00A07F9C">
        <w:t>EPA could</w:t>
      </w:r>
      <w:r w:rsidR="00A07F9C">
        <w:rPr>
          <w:color w:val="1F497D"/>
        </w:rPr>
        <w:t xml:space="preserve"> </w:t>
      </w:r>
      <w:r>
        <w:t>clarify for which waters states and tribes will assume CWA section 404 permitting responsibilities, and for which waters the USACE will retain permitting autho</w:t>
      </w:r>
      <w:r w:rsidR="005433C6">
        <w:t xml:space="preserve">rity. </w:t>
      </w:r>
      <w:r w:rsidR="0074423B">
        <w:t xml:space="preserve">Deliberations will be: </w:t>
      </w:r>
      <w:r w:rsidR="004D5832">
        <w:t xml:space="preserve"> </w:t>
      </w:r>
    </w:p>
    <w:p w14:paraId="201A4608" w14:textId="0F316959" w:rsidR="0074423B" w:rsidRPr="002C5430" w:rsidRDefault="0074423B" w:rsidP="001C5FA2">
      <w:pPr>
        <w:pStyle w:val="ListParagraph"/>
        <w:numPr>
          <w:ilvl w:val="0"/>
          <w:numId w:val="16"/>
        </w:numPr>
      </w:pPr>
      <w:r w:rsidRPr="002C5430">
        <w:t>Consistent with the subcommittee’s charge</w:t>
      </w:r>
      <w:r w:rsidR="00B72098" w:rsidRPr="002C5430">
        <w:t xml:space="preserve">; and, </w:t>
      </w:r>
    </w:p>
    <w:p w14:paraId="3E351F29" w14:textId="0A60BFE7" w:rsidR="001C5FA2" w:rsidRPr="002C5430" w:rsidRDefault="00B72098" w:rsidP="001C5FA2">
      <w:pPr>
        <w:pStyle w:val="ListParagraph"/>
        <w:numPr>
          <w:ilvl w:val="0"/>
          <w:numId w:val="16"/>
        </w:numPr>
      </w:pPr>
      <w:r w:rsidRPr="002C5430">
        <w:t>C</w:t>
      </w:r>
      <w:r w:rsidR="001C5FA2" w:rsidRPr="002C5430">
        <w:t>onsistent with the CWA</w:t>
      </w:r>
      <w:r w:rsidRPr="002C5430">
        <w:t>.</w:t>
      </w:r>
      <w:r w:rsidR="001C5FA2" w:rsidRPr="002C5430">
        <w:t xml:space="preserve"> </w:t>
      </w:r>
    </w:p>
    <w:p w14:paraId="39E12C98" w14:textId="0757AC12" w:rsidR="004D5832" w:rsidRPr="004D5832" w:rsidRDefault="00AC1CA5" w:rsidP="00986DEC">
      <w:pPr>
        <w:rPr>
          <w:b/>
        </w:rPr>
      </w:pPr>
      <w:r>
        <w:rPr>
          <w:b/>
        </w:rPr>
        <w:t xml:space="preserve">      </w:t>
      </w:r>
      <w:r w:rsidR="004D5832">
        <w:rPr>
          <w:b/>
        </w:rPr>
        <w:t>IV</w:t>
      </w:r>
      <w:r w:rsidR="00E9353F" w:rsidRPr="004D5832">
        <w:rPr>
          <w:b/>
        </w:rPr>
        <w:t xml:space="preserve">. </w:t>
      </w:r>
      <w:r w:rsidR="002D5166" w:rsidRPr="004D5832">
        <w:rPr>
          <w:b/>
        </w:rPr>
        <w:t>Membership</w:t>
      </w:r>
    </w:p>
    <w:p w14:paraId="45E8961F" w14:textId="6B806B16" w:rsidR="004D5832" w:rsidRPr="006D4D84" w:rsidRDefault="0042446E" w:rsidP="004D5832">
      <w:pPr>
        <w:pStyle w:val="ListParagraph"/>
        <w:numPr>
          <w:ilvl w:val="0"/>
          <w:numId w:val="26"/>
        </w:numPr>
      </w:pPr>
      <w:r w:rsidRPr="006D4D84">
        <w:t xml:space="preserve">Members </w:t>
      </w:r>
    </w:p>
    <w:p w14:paraId="7DD9C5CD" w14:textId="78A395F2" w:rsidR="004B3BF7" w:rsidRDefault="005B2B87" w:rsidP="00CD68B6">
      <w:pPr>
        <w:pStyle w:val="NumberList"/>
      </w:pPr>
      <w:r w:rsidRPr="005433C6">
        <w:t>Categories of participation inc</w:t>
      </w:r>
      <w:r w:rsidR="005433C6">
        <w:t xml:space="preserve">lude representative members, </w:t>
      </w:r>
      <w:r w:rsidRPr="005433C6">
        <w:t>regular government employees</w:t>
      </w:r>
      <w:r w:rsidR="005433C6">
        <w:t>, and a NACEPT liaison</w:t>
      </w:r>
      <w:r w:rsidRPr="005433C6">
        <w:t xml:space="preserve">.  Representative members are uncompensated volunteers with equal voting and decision-making power. </w:t>
      </w:r>
      <w:r w:rsidR="00B72098">
        <w:t xml:space="preserve"> The EPA Administrator approves </w:t>
      </w:r>
      <w:r w:rsidR="00FB6997">
        <w:t>m</w:t>
      </w:r>
      <w:r w:rsidRPr="005433C6">
        <w:t xml:space="preserve">embers </w:t>
      </w:r>
      <w:r w:rsidR="00B72098">
        <w:t xml:space="preserve">for </w:t>
      </w:r>
      <w:r w:rsidRPr="005433C6">
        <w:t>two-year term</w:t>
      </w:r>
      <w:r w:rsidR="00B72098">
        <w:t>s.</w:t>
      </w:r>
      <w:r w:rsidR="00986DEC" w:rsidRPr="005433C6">
        <w:t xml:space="preserve">  Regular government employees represent their agency’s interest as paid federal staff, also for a two-year term.</w:t>
      </w:r>
      <w:r w:rsidRPr="005433C6">
        <w:t xml:space="preserve"> </w:t>
      </w:r>
      <w:r w:rsidR="005433C6">
        <w:t xml:space="preserve">The NACEPT Liaison serves as the formal liaison between the parent committee and the subcommittee. </w:t>
      </w:r>
    </w:p>
    <w:p w14:paraId="085B5872" w14:textId="26864C86" w:rsidR="00986B7E" w:rsidRPr="00B72098" w:rsidRDefault="005433C6" w:rsidP="00CD68B6">
      <w:pPr>
        <w:pStyle w:val="NumberList"/>
      </w:pPr>
      <w:r w:rsidRPr="00B72098">
        <w:t>B.</w:t>
      </w:r>
      <w:r w:rsidRPr="00B72098">
        <w:tab/>
      </w:r>
      <w:r w:rsidR="00986B7E" w:rsidRPr="00B72098">
        <w:t>Member Expectations</w:t>
      </w:r>
    </w:p>
    <w:p w14:paraId="6CB51020" w14:textId="30A2627E" w:rsidR="00087DCF" w:rsidRPr="004D5832" w:rsidRDefault="00B72098" w:rsidP="00CD68B6">
      <w:pPr>
        <w:pStyle w:val="NumberList"/>
      </w:pPr>
      <w:r>
        <w:t xml:space="preserve">1)  </w:t>
      </w:r>
      <w:r w:rsidR="0042446E" w:rsidRPr="004D5832">
        <w:t xml:space="preserve">Participation. </w:t>
      </w:r>
      <w:r w:rsidR="0052599C" w:rsidRPr="004D5832">
        <w:t xml:space="preserve">Subcommittee members are expected to attend all meetings and </w:t>
      </w:r>
      <w:r w:rsidR="001C5FA2" w:rsidRPr="004D5832">
        <w:t xml:space="preserve">could </w:t>
      </w:r>
      <w:r w:rsidR="0052599C" w:rsidRPr="004D5832">
        <w:t xml:space="preserve">be dismissed after </w:t>
      </w:r>
      <w:r w:rsidR="0042446E" w:rsidRPr="004D5832">
        <w:t>a</w:t>
      </w:r>
      <w:r w:rsidR="0052599C" w:rsidRPr="004D5832">
        <w:t xml:space="preserve"> member fails to participate in two meetings. </w:t>
      </w:r>
    </w:p>
    <w:p w14:paraId="79388CB0" w14:textId="7B0FCCAA" w:rsidR="007E548B" w:rsidRPr="004D5832" w:rsidRDefault="004D5832" w:rsidP="00CD68B6">
      <w:pPr>
        <w:pStyle w:val="NumberList"/>
      </w:pPr>
      <w:r>
        <w:t>2)</w:t>
      </w:r>
      <w:r>
        <w:tab/>
      </w:r>
      <w:r w:rsidR="007E548B" w:rsidRPr="004D5832">
        <w:t xml:space="preserve">Quorum. A quorum of 50% + 1 of the </w:t>
      </w:r>
      <w:r w:rsidR="007E22AF" w:rsidRPr="004D5832">
        <w:t>s</w:t>
      </w:r>
      <w:r w:rsidR="005433C6" w:rsidRPr="004D5832">
        <w:t>ubcommittee</w:t>
      </w:r>
      <w:r w:rsidR="007E548B" w:rsidRPr="004D5832">
        <w:t xml:space="preserve"> members is</w:t>
      </w:r>
      <w:r w:rsidR="007E548B" w:rsidRPr="0056733D">
        <w:t xml:space="preserve"> </w:t>
      </w:r>
      <w:r w:rsidR="007E548B" w:rsidRPr="004D5832">
        <w:t xml:space="preserve">required for decision-making.  Members joining an in-person meeting by telephone will be counted toward the requirement to achieve </w:t>
      </w:r>
      <w:r w:rsidR="001215F1" w:rsidRPr="004D5832">
        <w:t xml:space="preserve">a quorum. </w:t>
      </w:r>
    </w:p>
    <w:p w14:paraId="60734A3E" w14:textId="3B06CEFE" w:rsidR="004D5832" w:rsidRDefault="004D5832" w:rsidP="00CD68B6">
      <w:pPr>
        <w:pStyle w:val="NumberList"/>
      </w:pPr>
      <w:r>
        <w:t>3)</w:t>
      </w:r>
      <w:r>
        <w:tab/>
      </w:r>
      <w:r w:rsidR="00E9353F" w:rsidRPr="004D5832">
        <w:t xml:space="preserve">Representation. </w:t>
      </w:r>
      <w:r w:rsidR="0042446E" w:rsidRPr="004D5832">
        <w:t>Subc</w:t>
      </w:r>
      <w:r w:rsidR="00E9353F" w:rsidRPr="004D5832">
        <w:t xml:space="preserve">ommittee members are participating in a representative capacity. They are expected to consult during the </w:t>
      </w:r>
      <w:r w:rsidR="001215F1" w:rsidRPr="004D5832">
        <w:t>deliberations</w:t>
      </w:r>
      <w:r w:rsidR="00E9353F" w:rsidRPr="004D5832">
        <w:t xml:space="preserve"> with their </w:t>
      </w:r>
      <w:r w:rsidR="00B72098" w:rsidRPr="00AD7389">
        <w:t xml:space="preserve">organization and/or </w:t>
      </w:r>
      <w:r w:rsidR="00E9353F" w:rsidRPr="00AD7389">
        <w:t>constituents</w:t>
      </w:r>
      <w:r w:rsidR="00E9353F" w:rsidRPr="004D5832">
        <w:t xml:space="preserve">, and to ensure that </w:t>
      </w:r>
      <w:r w:rsidR="0042446E" w:rsidRPr="004D5832">
        <w:t xml:space="preserve">any agreement developed by the </w:t>
      </w:r>
      <w:r w:rsidR="007E22AF" w:rsidRPr="004D5832">
        <w:t>s</w:t>
      </w:r>
      <w:r w:rsidR="00FB21B5" w:rsidRPr="004D5832">
        <w:t>ubcommittee</w:t>
      </w:r>
      <w:r w:rsidR="00E9353F" w:rsidRPr="004D5832">
        <w:t xml:space="preserve"> is acceptable to their constituents.</w:t>
      </w:r>
      <w:r w:rsidR="00E307CC" w:rsidRPr="004D5832">
        <w:t xml:space="preserve"> For this </w:t>
      </w:r>
      <w:r w:rsidR="00FB21B5" w:rsidRPr="004D5832">
        <w:t>subcommittee</w:t>
      </w:r>
      <w:r w:rsidR="00E307CC" w:rsidRPr="004D5832">
        <w:t xml:space="preserve">’s purposes, federal members from the </w:t>
      </w:r>
      <w:r w:rsidR="001C5FA2" w:rsidRPr="004D5832">
        <w:t xml:space="preserve">US EPA, </w:t>
      </w:r>
      <w:r w:rsidR="00E307CC" w:rsidRPr="004D5832">
        <w:t>US Army Corps of Engineers and the Fish and Wildlife Service are considered representative of their organizations and under the same obligations.</w:t>
      </w:r>
    </w:p>
    <w:p w14:paraId="06F68091" w14:textId="10014AED" w:rsidR="00DE7531" w:rsidRPr="004D5832" w:rsidRDefault="004D5832" w:rsidP="00CD68B6">
      <w:pPr>
        <w:pStyle w:val="NumberList"/>
      </w:pPr>
      <w:r>
        <w:t>4)</w:t>
      </w:r>
      <w:r>
        <w:tab/>
      </w:r>
      <w:r w:rsidR="008151D2" w:rsidRPr="004D5832">
        <w:t>Termination. Members serve at the Administrator’s pleasure. Members can be removed for any reason the appointing official deems appropriate</w:t>
      </w:r>
      <w:r w:rsidR="00DE7531" w:rsidRPr="004D5832">
        <w:t xml:space="preserve">. Reasons to remove a member may include personal/professional circumstances would prove detrimental or disruptive to his/her continued participation in the </w:t>
      </w:r>
      <w:r w:rsidR="00FB21B5" w:rsidRPr="004D5832">
        <w:t>subcommittee</w:t>
      </w:r>
      <w:r w:rsidR="00DE7531" w:rsidRPr="004D5832">
        <w:t>’s work; failure to participate in two or more meetings; or a change in the member’s professional affiliation</w:t>
      </w:r>
      <w:r>
        <w:t>.</w:t>
      </w:r>
    </w:p>
    <w:p w14:paraId="4096B16B" w14:textId="4970F4BF" w:rsidR="00DE7531" w:rsidRDefault="00AC1CA5" w:rsidP="00DE7531">
      <w:pPr>
        <w:pStyle w:val="NormalBold"/>
      </w:pPr>
      <w:r>
        <w:lastRenderedPageBreak/>
        <w:t xml:space="preserve">      </w:t>
      </w:r>
      <w:r w:rsidR="004D5832">
        <w:t>V</w:t>
      </w:r>
      <w:r w:rsidR="00DE7531">
        <w:t xml:space="preserve">. </w:t>
      </w:r>
      <w:r w:rsidR="00C27099">
        <w:t>Subc</w:t>
      </w:r>
      <w:r w:rsidR="00DE7531">
        <w:t>ommittee Organization and Structure</w:t>
      </w:r>
    </w:p>
    <w:p w14:paraId="1CE11BD9" w14:textId="77777777" w:rsidR="00DE7531" w:rsidRPr="006D4D84" w:rsidRDefault="00DE7531" w:rsidP="00A246A7">
      <w:pPr>
        <w:pStyle w:val="NormalBold"/>
        <w:numPr>
          <w:ilvl w:val="0"/>
          <w:numId w:val="24"/>
        </w:numPr>
        <w:rPr>
          <w:b w:val="0"/>
        </w:rPr>
      </w:pPr>
      <w:r w:rsidRPr="006D4D84">
        <w:rPr>
          <w:b w:val="0"/>
        </w:rPr>
        <w:t>Organization</w:t>
      </w:r>
    </w:p>
    <w:p w14:paraId="57FCFA69" w14:textId="5995B98C" w:rsidR="00DE7531" w:rsidRPr="00027CA1" w:rsidRDefault="00DE7531" w:rsidP="00027CA1">
      <w:pPr>
        <w:pStyle w:val="NormalBold"/>
        <w:ind w:left="360"/>
        <w:rPr>
          <w:b w:val="0"/>
        </w:rPr>
      </w:pPr>
      <w:r w:rsidRPr="00027CA1">
        <w:rPr>
          <w:b w:val="0"/>
        </w:rPr>
        <w:t xml:space="preserve">The number, designation, mission, scope and membership of this </w:t>
      </w:r>
      <w:r w:rsidR="00FB21B5">
        <w:rPr>
          <w:b w:val="0"/>
        </w:rPr>
        <w:t>subcommittee</w:t>
      </w:r>
      <w:r w:rsidRPr="00027CA1">
        <w:rPr>
          <w:b w:val="0"/>
        </w:rPr>
        <w:t xml:space="preserve"> are subject to approval by the appointing official and subject to agreement between the DFO of the </w:t>
      </w:r>
      <w:r w:rsidR="00FB21B5">
        <w:rPr>
          <w:b w:val="0"/>
        </w:rPr>
        <w:t>subcommittee</w:t>
      </w:r>
      <w:r w:rsidRPr="00027CA1">
        <w:rPr>
          <w:b w:val="0"/>
        </w:rPr>
        <w:t xml:space="preserve"> and the NACEPT</w:t>
      </w:r>
      <w:r w:rsidRPr="00DE7531">
        <w:rPr>
          <w:b w:val="0"/>
        </w:rPr>
        <w:t xml:space="preserve">. This </w:t>
      </w:r>
      <w:r w:rsidR="00FB21B5">
        <w:rPr>
          <w:b w:val="0"/>
        </w:rPr>
        <w:t>subcommittee</w:t>
      </w:r>
      <w:r w:rsidR="004E25B6">
        <w:rPr>
          <w:b w:val="0"/>
        </w:rPr>
        <w:t xml:space="preserve"> </w:t>
      </w:r>
      <w:r w:rsidR="00C27099">
        <w:rPr>
          <w:b w:val="0"/>
        </w:rPr>
        <w:t>is</w:t>
      </w:r>
      <w:r w:rsidR="00C27099" w:rsidRPr="00DE7531">
        <w:rPr>
          <w:b w:val="0"/>
        </w:rPr>
        <w:t xml:space="preserve"> </w:t>
      </w:r>
      <w:r w:rsidRPr="00DE7531">
        <w:rPr>
          <w:b w:val="0"/>
        </w:rPr>
        <w:t xml:space="preserve">subject to the rules of the NACEPT committee and </w:t>
      </w:r>
      <w:r w:rsidR="00C27099">
        <w:rPr>
          <w:b w:val="0"/>
        </w:rPr>
        <w:t>may</w:t>
      </w:r>
      <w:r w:rsidR="00C27099" w:rsidRPr="00DE7531">
        <w:rPr>
          <w:b w:val="0"/>
        </w:rPr>
        <w:t xml:space="preserve"> </w:t>
      </w:r>
      <w:r w:rsidRPr="00DE7531">
        <w:rPr>
          <w:b w:val="0"/>
        </w:rPr>
        <w:t xml:space="preserve">not function or report recommendations </w:t>
      </w:r>
      <w:r w:rsidR="00C27099">
        <w:rPr>
          <w:b w:val="0"/>
        </w:rPr>
        <w:t xml:space="preserve">directly </w:t>
      </w:r>
      <w:r w:rsidRPr="00DE7531">
        <w:rPr>
          <w:b w:val="0"/>
        </w:rPr>
        <w:t>to EPA</w:t>
      </w:r>
      <w:r w:rsidR="00C27099">
        <w:rPr>
          <w:b w:val="0"/>
        </w:rPr>
        <w:t>.</w:t>
      </w:r>
      <w:r w:rsidRPr="00DE7531">
        <w:rPr>
          <w:b w:val="0"/>
        </w:rPr>
        <w:t xml:space="preserve"> </w:t>
      </w:r>
    </w:p>
    <w:p w14:paraId="11F3A290" w14:textId="77777777" w:rsidR="00DE7531" w:rsidRPr="00B72098" w:rsidRDefault="00DE7531" w:rsidP="00CD68B6">
      <w:pPr>
        <w:pStyle w:val="NumberList"/>
        <w:numPr>
          <w:ilvl w:val="0"/>
          <w:numId w:val="24"/>
        </w:numPr>
      </w:pPr>
      <w:r w:rsidRPr="00B72098">
        <w:t>Structure</w:t>
      </w:r>
    </w:p>
    <w:p w14:paraId="70211F73" w14:textId="1CF00BBA" w:rsidR="00DE7531" w:rsidRPr="004D5832" w:rsidRDefault="00DE7531" w:rsidP="00CD68B6">
      <w:pPr>
        <w:pStyle w:val="NumberList"/>
        <w:numPr>
          <w:ilvl w:val="0"/>
          <w:numId w:val="33"/>
        </w:numPr>
      </w:pPr>
      <w:r w:rsidRPr="004D5832">
        <w:t>Co-chairs. The co-chairs serve a</w:t>
      </w:r>
      <w:r w:rsidR="007E22AF" w:rsidRPr="004D5832">
        <w:t xml:space="preserve">s </w:t>
      </w:r>
      <w:r w:rsidRPr="004D5832">
        <w:t>active member</w:t>
      </w:r>
      <w:r w:rsidR="007E22AF" w:rsidRPr="004D5832">
        <w:t>s</w:t>
      </w:r>
      <w:r w:rsidRPr="004D5832">
        <w:t xml:space="preserve"> of the group. The</w:t>
      </w:r>
      <w:r w:rsidR="007E22AF" w:rsidRPr="004D5832">
        <w:t xml:space="preserve"> </w:t>
      </w:r>
      <w:r w:rsidRPr="004D5832">
        <w:t>co-chairs</w:t>
      </w:r>
      <w:r w:rsidR="007E22AF" w:rsidRPr="004D5832">
        <w:t xml:space="preserve"> </w:t>
      </w:r>
      <w:r w:rsidRPr="004D5832">
        <w:t xml:space="preserve">will </w:t>
      </w:r>
      <w:r w:rsidR="0074423B">
        <w:t>encourage</w:t>
      </w:r>
      <w:r w:rsidR="00AD7389">
        <w:t xml:space="preserve"> </w:t>
      </w:r>
      <w:r w:rsidR="004E25B6">
        <w:t>good proces</w:t>
      </w:r>
      <w:r w:rsidR="00B72098">
        <w:t>s</w:t>
      </w:r>
      <w:r w:rsidR="00C27099">
        <w:t xml:space="preserve"> and</w:t>
      </w:r>
      <w:r w:rsidR="00C27099" w:rsidRPr="004D5832">
        <w:t xml:space="preserve"> </w:t>
      </w:r>
      <w:r w:rsidRPr="004D5832">
        <w:t>consult with the facilitator and DFO on</w:t>
      </w:r>
      <w:r w:rsidR="00B72098">
        <w:t xml:space="preserve"> meeting agendas and timelines.</w:t>
      </w:r>
    </w:p>
    <w:p w14:paraId="41C066DA" w14:textId="3ECD9892" w:rsidR="00DE7531" w:rsidRDefault="00DE7531" w:rsidP="00CD68B6">
      <w:pPr>
        <w:pStyle w:val="NumberList"/>
        <w:numPr>
          <w:ilvl w:val="0"/>
          <w:numId w:val="33"/>
        </w:numPr>
      </w:pPr>
      <w:r>
        <w:t xml:space="preserve">Subcommittee Members. </w:t>
      </w:r>
      <w:r w:rsidRPr="007E548B">
        <w:t xml:space="preserve">A </w:t>
      </w:r>
      <w:r w:rsidR="00FB21B5">
        <w:t>Subcommittee</w:t>
      </w:r>
      <w:r w:rsidRPr="007E548B">
        <w:t xml:space="preserve"> member is expected to represent the interests of </w:t>
      </w:r>
      <w:r w:rsidRPr="00AD7389">
        <w:t>their organization</w:t>
      </w:r>
      <w:r w:rsidRPr="007E548B">
        <w:t>, participate fully i</w:t>
      </w:r>
      <w:r w:rsidR="007E22AF">
        <w:t>n the activities of the</w:t>
      </w:r>
      <w:r w:rsidRPr="007E548B">
        <w:t xml:space="preserve"> </w:t>
      </w:r>
      <w:r w:rsidR="007E22AF">
        <w:t>s</w:t>
      </w:r>
      <w:r w:rsidR="00FB21B5">
        <w:t>ubcommittee</w:t>
      </w:r>
      <w:r w:rsidRPr="007E548B">
        <w:t xml:space="preserve">, including the following: active discussion, active listening, ensuring </w:t>
      </w:r>
      <w:r>
        <w:t>the member is h</w:t>
      </w:r>
      <w:r w:rsidRPr="007E548B">
        <w:t>eard correctly, being prepared for meetings, voicing consent or dissent constructively, and helping the committee enforce its ground rules</w:t>
      </w:r>
      <w:r>
        <w:t xml:space="preserve"> (see Safeguards for Members below)</w:t>
      </w:r>
      <w:r w:rsidRPr="007E548B">
        <w:t>.</w:t>
      </w:r>
    </w:p>
    <w:p w14:paraId="0D369E94" w14:textId="25499B9E" w:rsidR="00DE7531" w:rsidRDefault="00DE7531" w:rsidP="00CD68B6">
      <w:pPr>
        <w:pStyle w:val="NumberList"/>
        <w:numPr>
          <w:ilvl w:val="0"/>
          <w:numId w:val="33"/>
        </w:numPr>
      </w:pPr>
      <w:r>
        <w:t xml:space="preserve">Federal Subcommittee Members (EPA, USACE and FWS). </w:t>
      </w:r>
      <w:r w:rsidRPr="007E548B">
        <w:t xml:space="preserve">The expectations are the same </w:t>
      </w:r>
      <w:r w:rsidR="007E22AF">
        <w:t>for Regular Governmental Employees (RGE’s)</w:t>
      </w:r>
      <w:r>
        <w:t xml:space="preserve"> as with </w:t>
      </w:r>
      <w:r w:rsidR="007E22AF">
        <w:t>s</w:t>
      </w:r>
      <w:r w:rsidR="00FB21B5">
        <w:t>ubcommittee</w:t>
      </w:r>
      <w:r w:rsidRPr="007E548B">
        <w:t xml:space="preserve"> members</w:t>
      </w:r>
      <w:r>
        <w:t xml:space="preserve"> representing outside interests</w:t>
      </w:r>
      <w:r w:rsidRPr="007E548B">
        <w:t xml:space="preserve">. In addition, a federal member is expected to act as a liaison with their parent </w:t>
      </w:r>
      <w:r>
        <w:t>a</w:t>
      </w:r>
      <w:r w:rsidRPr="007E548B">
        <w:t xml:space="preserve">gency, providing </w:t>
      </w:r>
      <w:r>
        <w:t xml:space="preserve">cohesive Agency level </w:t>
      </w:r>
      <w:r w:rsidRPr="007E548B">
        <w:t xml:space="preserve">information and feedback to the </w:t>
      </w:r>
      <w:r w:rsidR="007E22AF">
        <w:t>s</w:t>
      </w:r>
      <w:r w:rsidR="00FB21B5">
        <w:t>ubcommittee</w:t>
      </w:r>
      <w:r w:rsidRPr="007E548B">
        <w:t>.</w:t>
      </w:r>
    </w:p>
    <w:p w14:paraId="036E3E07" w14:textId="244AEAC5" w:rsidR="00DE7531" w:rsidRDefault="00DE7531" w:rsidP="00CD68B6">
      <w:pPr>
        <w:pStyle w:val="NumberList"/>
        <w:numPr>
          <w:ilvl w:val="0"/>
          <w:numId w:val="33"/>
        </w:numPr>
      </w:pPr>
      <w:r>
        <w:t xml:space="preserve">Designated Federal Official. </w:t>
      </w:r>
      <w:r w:rsidRPr="0056733D">
        <w:t xml:space="preserve">The </w:t>
      </w:r>
      <w:r>
        <w:t>Designated Federal Official (</w:t>
      </w:r>
      <w:r w:rsidRPr="0056733D">
        <w:t>DFO</w:t>
      </w:r>
      <w:r>
        <w:t>)</w:t>
      </w:r>
      <w:r w:rsidRPr="0056733D">
        <w:t xml:space="preserve"> will </w:t>
      </w:r>
      <w:r>
        <w:t xml:space="preserve">be responsible for ensuring compliance with the Federal Advisory Committee Act (FACA). He/she will </w:t>
      </w:r>
      <w:r w:rsidRPr="0056733D">
        <w:t xml:space="preserve">determine whether to conduct </w:t>
      </w:r>
      <w:r w:rsidR="007E22AF">
        <w:t>s</w:t>
      </w:r>
      <w:r w:rsidR="00FB21B5">
        <w:t>ubcommittee</w:t>
      </w:r>
      <w:r w:rsidRPr="0056733D">
        <w:t xml:space="preserve"> meetings, prepare and approve all meeting agendas, attend all </w:t>
      </w:r>
      <w:r w:rsidR="007E22AF">
        <w:t>s</w:t>
      </w:r>
      <w:r w:rsidR="00FB21B5">
        <w:t>ubcommittee</w:t>
      </w:r>
      <w:r w:rsidRPr="0056733D">
        <w:t xml:space="preserve"> meetings, adjourn any meeting when </w:t>
      </w:r>
      <w:r>
        <w:t>he/she</w:t>
      </w:r>
      <w:r w:rsidRPr="0056733D">
        <w:t xml:space="preserve"> determines adjournment to be in the public interest, and chair meetings when di</w:t>
      </w:r>
      <w:r>
        <w:t xml:space="preserve">rected to do so by the official to whom the </w:t>
      </w:r>
      <w:r w:rsidR="007E22AF">
        <w:t>s</w:t>
      </w:r>
      <w:r w:rsidR="00FB21B5">
        <w:t>ubcommittee</w:t>
      </w:r>
      <w:r>
        <w:t xml:space="preserve"> reports</w:t>
      </w:r>
      <w:r w:rsidRPr="0056733D">
        <w:t>.</w:t>
      </w:r>
      <w:r>
        <w:t xml:space="preserve"> </w:t>
      </w:r>
    </w:p>
    <w:p w14:paraId="374E571A" w14:textId="23F2C9B3" w:rsidR="00DE7531" w:rsidRDefault="00DE7531" w:rsidP="00CD68B6">
      <w:pPr>
        <w:pStyle w:val="NumberList"/>
        <w:numPr>
          <w:ilvl w:val="0"/>
          <w:numId w:val="33"/>
        </w:numPr>
      </w:pPr>
      <w:r>
        <w:t xml:space="preserve">Facilitator. </w:t>
      </w:r>
      <w:r w:rsidRPr="00C93D4F">
        <w:t>The facilitator will be responsible for helping to ensure that the process runs smoothly, developing meeting agendas</w:t>
      </w:r>
      <w:r>
        <w:t xml:space="preserve"> in cooperation with the DFO</w:t>
      </w:r>
      <w:r w:rsidRPr="00C93D4F">
        <w:t xml:space="preserve">, preparing and distributing draft and final </w:t>
      </w:r>
      <w:r>
        <w:t xml:space="preserve">meeting </w:t>
      </w:r>
      <w:r w:rsidRPr="00C93D4F">
        <w:t>summaries</w:t>
      </w:r>
      <w:r>
        <w:t xml:space="preserve">, </w:t>
      </w:r>
      <w:r w:rsidRPr="00C93D4F">
        <w:t>and helping parties resolve their differences and achieve consensus on the</w:t>
      </w:r>
      <w:r>
        <w:t xml:space="preserve"> issues to be addressed by the </w:t>
      </w:r>
      <w:r w:rsidR="007E22AF">
        <w:t>s</w:t>
      </w:r>
      <w:r w:rsidR="00FB21B5">
        <w:t>ubcommittee</w:t>
      </w:r>
      <w:r w:rsidRPr="00C93D4F">
        <w:t xml:space="preserve">. </w:t>
      </w:r>
      <w:r>
        <w:t>Responsibilities of the facilitator include, but are not limited to:</w:t>
      </w:r>
    </w:p>
    <w:p w14:paraId="53706200" w14:textId="77777777" w:rsidR="00DE7531" w:rsidRDefault="00DE7531" w:rsidP="00DE7531">
      <w:pPr>
        <w:pStyle w:val="BulletList"/>
        <w:numPr>
          <w:ilvl w:val="0"/>
          <w:numId w:val="1"/>
        </w:numPr>
      </w:pPr>
      <w:r>
        <w:t>Ensure a common understanding of the goals of the subcommittee;</w:t>
      </w:r>
    </w:p>
    <w:p w14:paraId="196C86E0" w14:textId="77777777" w:rsidR="00DE7531" w:rsidRDefault="00DE7531" w:rsidP="00DE7531">
      <w:pPr>
        <w:pStyle w:val="BulletList"/>
        <w:numPr>
          <w:ilvl w:val="0"/>
          <w:numId w:val="1"/>
        </w:numPr>
      </w:pPr>
      <w:r>
        <w:t>Keep discussion focused upon the intended subject;</w:t>
      </w:r>
    </w:p>
    <w:p w14:paraId="737EEFED" w14:textId="77777777" w:rsidR="00DE7531" w:rsidRDefault="00DE7531" w:rsidP="00DE7531">
      <w:pPr>
        <w:pStyle w:val="BulletList"/>
        <w:numPr>
          <w:ilvl w:val="0"/>
          <w:numId w:val="1"/>
        </w:numPr>
      </w:pPr>
      <w:r>
        <w:t>Make the group aware of content versus process;</w:t>
      </w:r>
    </w:p>
    <w:p w14:paraId="4603A955" w14:textId="1CE8B951" w:rsidR="009B55ED" w:rsidRDefault="009B55ED" w:rsidP="00DE7531">
      <w:pPr>
        <w:pStyle w:val="BulletList"/>
        <w:numPr>
          <w:ilvl w:val="0"/>
          <w:numId w:val="1"/>
        </w:numPr>
      </w:pPr>
      <w:r>
        <w:t>Assist the subcommittee in preparing written materials</w:t>
      </w:r>
      <w:r w:rsidR="004E25B6">
        <w:t>;</w:t>
      </w:r>
    </w:p>
    <w:p w14:paraId="67C74BE9" w14:textId="42C99ADB" w:rsidR="00DE7531" w:rsidRDefault="00DE7531" w:rsidP="00DE7531">
      <w:pPr>
        <w:pStyle w:val="BulletList"/>
        <w:numPr>
          <w:ilvl w:val="0"/>
          <w:numId w:val="1"/>
        </w:numPr>
      </w:pPr>
      <w:r>
        <w:lastRenderedPageBreak/>
        <w:t>Maintain a productive, safe climate f</w:t>
      </w:r>
      <w:r w:rsidR="004E25B6">
        <w:t>or contributions by all members;</w:t>
      </w:r>
      <w:r>
        <w:t xml:space="preserve"> including protecting group members from personal attack;</w:t>
      </w:r>
    </w:p>
    <w:p w14:paraId="63B80A60" w14:textId="77777777" w:rsidR="00DE7531" w:rsidRDefault="00DE7531" w:rsidP="00DE7531">
      <w:pPr>
        <w:pStyle w:val="BulletList"/>
        <w:numPr>
          <w:ilvl w:val="0"/>
          <w:numId w:val="1"/>
        </w:numPr>
      </w:pPr>
      <w:r>
        <w:t>Enforcement of the ground rules and modification of the ground rules when necessary to maintain the focus and operations of the subcommittee;</w:t>
      </w:r>
    </w:p>
    <w:p w14:paraId="2672F1D3" w14:textId="77777777" w:rsidR="00DE7531" w:rsidRDefault="00DE7531" w:rsidP="00DE7531">
      <w:pPr>
        <w:pStyle w:val="BulletList"/>
        <w:numPr>
          <w:ilvl w:val="0"/>
          <w:numId w:val="1"/>
        </w:numPr>
      </w:pPr>
      <w:r>
        <w:t>Honor the agenda by calling attention to any deviations in previously agreed timeframes or subjects for discussion;</w:t>
      </w:r>
    </w:p>
    <w:p w14:paraId="22B3E32D" w14:textId="77777777" w:rsidR="00DE7531" w:rsidRDefault="00DE7531" w:rsidP="00DE7531">
      <w:pPr>
        <w:pStyle w:val="BulletList"/>
        <w:numPr>
          <w:ilvl w:val="0"/>
          <w:numId w:val="1"/>
        </w:numPr>
      </w:pPr>
      <w:r>
        <w:t>Encourage participation by less vocal members;</w:t>
      </w:r>
    </w:p>
    <w:p w14:paraId="6A1EFFAD" w14:textId="77777777" w:rsidR="00DE7531" w:rsidRDefault="00DE7531" w:rsidP="00DE7531">
      <w:pPr>
        <w:pStyle w:val="BulletList"/>
        <w:numPr>
          <w:ilvl w:val="0"/>
          <w:numId w:val="1"/>
        </w:numPr>
      </w:pPr>
      <w:r>
        <w:t>Ensure that participants understand the discussion, and seek clarification where they do not;</w:t>
      </w:r>
    </w:p>
    <w:p w14:paraId="424370E1" w14:textId="77777777" w:rsidR="00DE7531" w:rsidRDefault="00DE7531" w:rsidP="00DE7531">
      <w:pPr>
        <w:pStyle w:val="BulletList"/>
        <w:numPr>
          <w:ilvl w:val="0"/>
          <w:numId w:val="1"/>
        </w:numPr>
      </w:pPr>
      <w:r>
        <w:t>Uncover hidden or unpopular issues;</w:t>
      </w:r>
    </w:p>
    <w:p w14:paraId="304E4A32" w14:textId="77777777" w:rsidR="00DE7531" w:rsidRDefault="00DE7531" w:rsidP="00DE7531">
      <w:pPr>
        <w:pStyle w:val="BulletList"/>
        <w:numPr>
          <w:ilvl w:val="0"/>
          <w:numId w:val="1"/>
        </w:numPr>
      </w:pPr>
      <w:r>
        <w:t>Keep the discussion moving forward;</w:t>
      </w:r>
    </w:p>
    <w:p w14:paraId="46812D91" w14:textId="77777777" w:rsidR="00DE7531" w:rsidRDefault="00DE7531" w:rsidP="00DE7531">
      <w:pPr>
        <w:pStyle w:val="BulletList"/>
        <w:numPr>
          <w:ilvl w:val="0"/>
          <w:numId w:val="1"/>
        </w:numPr>
      </w:pPr>
      <w:r>
        <w:t>Ensure that all assignments, deadlines, and other agreed expectations are understood by those with responsibility;</w:t>
      </w:r>
    </w:p>
    <w:p w14:paraId="64BDDF80" w14:textId="77777777" w:rsidR="00DE7531" w:rsidRDefault="00DE7531" w:rsidP="00DE7531">
      <w:pPr>
        <w:pStyle w:val="BulletList"/>
        <w:numPr>
          <w:ilvl w:val="0"/>
          <w:numId w:val="1"/>
        </w:numPr>
      </w:pPr>
      <w:r>
        <w:t xml:space="preserve">Get consent at every major decision point; </w:t>
      </w:r>
    </w:p>
    <w:p w14:paraId="63342ACF" w14:textId="77777777" w:rsidR="00DE7531" w:rsidRDefault="00DE7531" w:rsidP="00DE7531">
      <w:pPr>
        <w:pStyle w:val="BulletList"/>
      </w:pPr>
      <w:r>
        <w:t>Reframe as necessary;</w:t>
      </w:r>
    </w:p>
    <w:p w14:paraId="635B23F5" w14:textId="77777777" w:rsidR="00DE7531" w:rsidRDefault="00DE7531" w:rsidP="00DE7531">
      <w:pPr>
        <w:pStyle w:val="BulletList"/>
      </w:pPr>
      <w:r>
        <w:t xml:space="preserve">Assist the subcommittee in reaching consensus and articulating issues where consensus is not possible. </w:t>
      </w:r>
    </w:p>
    <w:p w14:paraId="3A7F6943" w14:textId="4AB7283C" w:rsidR="00DE7531" w:rsidRDefault="00DE7531" w:rsidP="00CD68B6">
      <w:pPr>
        <w:pStyle w:val="NumberList"/>
        <w:numPr>
          <w:ilvl w:val="0"/>
          <w:numId w:val="33"/>
        </w:numPr>
      </w:pPr>
      <w:r>
        <w:t xml:space="preserve">Technical Experts. </w:t>
      </w:r>
      <w:r w:rsidRPr="00C93D4F">
        <w:t xml:space="preserve">It may be necessary to call upon people outside the group to provide particular expertise on certain matters.  </w:t>
      </w:r>
      <w:r>
        <w:t>Prior to the meeting, it i</w:t>
      </w:r>
      <w:r w:rsidRPr="00C93D4F">
        <w:t>s the facilitator’s job to discuss the role of the expert with the group and with the expert, go over any particular ground rules regarding technical expertise, and prepare the expert logistically for the meeting.  It is important to respect time constraints of technical experts.</w:t>
      </w:r>
    </w:p>
    <w:p w14:paraId="44F60176" w14:textId="6ABC3D3B" w:rsidR="00DE7531" w:rsidRPr="0076018B" w:rsidRDefault="00DE7531" w:rsidP="00CD68B6">
      <w:pPr>
        <w:pStyle w:val="NumberList"/>
        <w:numPr>
          <w:ilvl w:val="0"/>
          <w:numId w:val="33"/>
        </w:numPr>
      </w:pPr>
      <w:r>
        <w:t xml:space="preserve">Public Observers. Subcommittee meetings are open to the public. </w:t>
      </w:r>
      <w:r w:rsidRPr="00C93D4F">
        <w:t xml:space="preserve">Any attendee </w:t>
      </w:r>
      <w:r>
        <w:t xml:space="preserve">who participates in the meeting who is not a subcommittee member will participate as </w:t>
      </w:r>
      <w:r w:rsidRPr="00C93D4F">
        <w:t xml:space="preserve">an observer. </w:t>
      </w:r>
      <w:r>
        <w:t>Observers</w:t>
      </w:r>
      <w:r w:rsidRPr="00C93D4F">
        <w:t xml:space="preserve"> have the right to see and h</w:t>
      </w:r>
      <w:r>
        <w:t xml:space="preserve">ear all the proceedings of the </w:t>
      </w:r>
      <w:r w:rsidR="007E22AF">
        <w:t>s</w:t>
      </w:r>
      <w:r w:rsidR="00FB21B5">
        <w:t>ubcommittee</w:t>
      </w:r>
      <w:r>
        <w:t>, and</w:t>
      </w:r>
      <w:r w:rsidRPr="00C93D4F">
        <w:t xml:space="preserve"> </w:t>
      </w:r>
      <w:r>
        <w:t xml:space="preserve">will </w:t>
      </w:r>
      <w:r w:rsidRPr="00C93D4F">
        <w:t>be provided the opportunity to comment</w:t>
      </w:r>
      <w:r>
        <w:t xml:space="preserve"> at least once at each meeting</w:t>
      </w:r>
      <w:r w:rsidRPr="00C93D4F">
        <w:t xml:space="preserve">. </w:t>
      </w:r>
      <w:r>
        <w:t>As part of the public notice of the meeting, the agenda will specify time</w:t>
      </w:r>
      <w:r w:rsidR="00380139">
        <w:t xml:space="preserve"> </w:t>
      </w:r>
      <w:r>
        <w:t>slot(s) during which opportunities for public comment will be provided</w:t>
      </w:r>
      <w:r w:rsidR="00FB0A68">
        <w:t xml:space="preserve">. </w:t>
      </w:r>
      <w:r w:rsidR="00FB0A68" w:rsidRPr="0076018B">
        <w:t>Obse</w:t>
      </w:r>
      <w:r w:rsidR="004E25B6" w:rsidRPr="0076018B">
        <w:t>r</w:t>
      </w:r>
      <w:r w:rsidR="00B72098" w:rsidRPr="0076018B">
        <w:t xml:space="preserve">vers may participate in discussions </w:t>
      </w:r>
      <w:r w:rsidR="00FB0A68" w:rsidRPr="0076018B">
        <w:t xml:space="preserve">outside </w:t>
      </w:r>
      <w:r w:rsidR="00B72098" w:rsidRPr="0076018B">
        <w:t xml:space="preserve">of the scheduled </w:t>
      </w:r>
      <w:r w:rsidR="00FB0A68" w:rsidRPr="0076018B">
        <w:t xml:space="preserve">public input sessions when invited by the co-chairs. </w:t>
      </w:r>
    </w:p>
    <w:p w14:paraId="0F7E0BF9" w14:textId="0D6A24CC" w:rsidR="00EC4F46" w:rsidRDefault="00AC1CA5" w:rsidP="002D5166">
      <w:pPr>
        <w:pStyle w:val="NormalBold"/>
      </w:pPr>
      <w:r>
        <w:t xml:space="preserve">         </w:t>
      </w:r>
      <w:r w:rsidR="002D5166">
        <w:t>V</w:t>
      </w:r>
      <w:r w:rsidR="004D5832">
        <w:t>I</w:t>
      </w:r>
      <w:r w:rsidR="002D5166">
        <w:t>. Subcommittee Meetings</w:t>
      </w:r>
    </w:p>
    <w:p w14:paraId="1F01BF00" w14:textId="68E19CAB" w:rsidR="00A00687" w:rsidRDefault="00A00687" w:rsidP="0076018B">
      <w:pPr>
        <w:pStyle w:val="NormalBold"/>
        <w:ind w:left="810"/>
        <w:rPr>
          <w:b w:val="0"/>
        </w:rPr>
      </w:pPr>
      <w:r w:rsidRPr="00A246A7">
        <w:rPr>
          <w:b w:val="0"/>
        </w:rPr>
        <w:t xml:space="preserve">The subcommittee </w:t>
      </w:r>
      <w:r w:rsidR="00380139">
        <w:rPr>
          <w:b w:val="0"/>
        </w:rPr>
        <w:t xml:space="preserve">is expected to </w:t>
      </w:r>
      <w:r w:rsidRPr="00A246A7">
        <w:rPr>
          <w:b w:val="0"/>
        </w:rPr>
        <w:t xml:space="preserve">operate in accordance with all the </w:t>
      </w:r>
      <w:r w:rsidR="00380139">
        <w:rPr>
          <w:b w:val="0"/>
        </w:rPr>
        <w:t>openness</w:t>
      </w:r>
      <w:r w:rsidR="00380139" w:rsidRPr="00A246A7">
        <w:rPr>
          <w:b w:val="0"/>
        </w:rPr>
        <w:t xml:space="preserve"> </w:t>
      </w:r>
      <w:r w:rsidRPr="00A246A7">
        <w:rPr>
          <w:b w:val="0"/>
        </w:rPr>
        <w:t>requirements of FACA</w:t>
      </w:r>
      <w:r w:rsidR="004E25B6">
        <w:rPr>
          <w:b w:val="0"/>
        </w:rPr>
        <w:t xml:space="preserve"> </w:t>
      </w:r>
      <w:r w:rsidR="00FB0A68">
        <w:rPr>
          <w:b w:val="0"/>
        </w:rPr>
        <w:t xml:space="preserve">and EPA policy. </w:t>
      </w:r>
      <w:r w:rsidRPr="00A246A7">
        <w:rPr>
          <w:b w:val="0"/>
        </w:rPr>
        <w:t xml:space="preserve">Such requirements </w:t>
      </w:r>
      <w:r w:rsidRPr="00A00687">
        <w:rPr>
          <w:b w:val="0"/>
        </w:rPr>
        <w:t>include, but are not limited to</w:t>
      </w:r>
      <w:r w:rsidRPr="00A246A7">
        <w:rPr>
          <w:b w:val="0"/>
        </w:rPr>
        <w:t>: publishing not</w:t>
      </w:r>
      <w:r w:rsidR="004E25B6">
        <w:rPr>
          <w:b w:val="0"/>
        </w:rPr>
        <w:t>ice of meetings in the Federal R</w:t>
      </w:r>
      <w:r w:rsidRPr="00A246A7">
        <w:rPr>
          <w:b w:val="0"/>
        </w:rPr>
        <w:t>egister, holding open meetings, and taking and certifying meeting minutes.</w:t>
      </w:r>
      <w:r>
        <w:rPr>
          <w:b w:val="0"/>
        </w:rPr>
        <w:t xml:space="preserve"> Accordingly,</w:t>
      </w:r>
    </w:p>
    <w:p w14:paraId="32C5F552" w14:textId="03D1FD81" w:rsidR="00A00687" w:rsidRDefault="0076018B" w:rsidP="00A246A7">
      <w:pPr>
        <w:pStyle w:val="NormalBold"/>
        <w:numPr>
          <w:ilvl w:val="0"/>
          <w:numId w:val="25"/>
        </w:numPr>
        <w:rPr>
          <w:b w:val="0"/>
        </w:rPr>
      </w:pPr>
      <w:r>
        <w:rPr>
          <w:b w:val="0"/>
        </w:rPr>
        <w:t xml:space="preserve"> </w:t>
      </w:r>
      <w:r w:rsidR="00A00687">
        <w:rPr>
          <w:b w:val="0"/>
        </w:rPr>
        <w:t xml:space="preserve">Unless otherwise determined in advance and authorized by the EPA Administrator, all </w:t>
      </w:r>
      <w:r>
        <w:rPr>
          <w:b w:val="0"/>
        </w:rPr>
        <w:t xml:space="preserve">      </w:t>
      </w:r>
      <w:r w:rsidR="00A00687">
        <w:rPr>
          <w:b w:val="0"/>
        </w:rPr>
        <w:t>meetings will be open to the public</w:t>
      </w:r>
    </w:p>
    <w:p w14:paraId="1D072CD2" w14:textId="77777777" w:rsidR="006F129A" w:rsidRPr="006F129A" w:rsidRDefault="00A00687" w:rsidP="006F129A">
      <w:pPr>
        <w:pStyle w:val="NormalBold"/>
        <w:numPr>
          <w:ilvl w:val="0"/>
          <w:numId w:val="25"/>
        </w:numPr>
        <w:rPr>
          <w:b w:val="0"/>
        </w:rPr>
      </w:pPr>
      <w:r>
        <w:rPr>
          <w:b w:val="0"/>
        </w:rPr>
        <w:lastRenderedPageBreak/>
        <w:t xml:space="preserve">All </w:t>
      </w:r>
      <w:r w:rsidR="00290398">
        <w:rPr>
          <w:b w:val="0"/>
        </w:rPr>
        <w:t xml:space="preserve">documents made available to or prepared by or for the subcommittee will </w:t>
      </w:r>
      <w:r w:rsidR="004E25B6">
        <w:rPr>
          <w:b w:val="0"/>
        </w:rPr>
        <w:t>be made available to the public on the foll</w:t>
      </w:r>
      <w:r w:rsidR="00EC7D94">
        <w:rPr>
          <w:b w:val="0"/>
        </w:rPr>
        <w:t>owing website</w:t>
      </w:r>
      <w:r w:rsidR="004E25B6">
        <w:rPr>
          <w:rFonts w:ascii="Calibri" w:hAnsi="Calibri"/>
          <w:color w:val="1F497D"/>
          <w:szCs w:val="22"/>
        </w:rPr>
        <w:t xml:space="preserve">:  </w:t>
      </w:r>
      <w:r w:rsidR="006F129A" w:rsidRPr="006F129A">
        <w:rPr>
          <w:rFonts w:ascii="Calibri" w:hAnsi="Calibri"/>
          <w:color w:val="1F497D"/>
          <w:szCs w:val="22"/>
        </w:rPr>
        <w:t xml:space="preserve">http://www2.epa.gov/cwa-404/assumable-waters-sub-committee </w:t>
      </w:r>
    </w:p>
    <w:p w14:paraId="6221F0B3" w14:textId="374F3F98" w:rsidR="00A00687" w:rsidRDefault="00290398" w:rsidP="006F129A">
      <w:pPr>
        <w:pStyle w:val="NormalBold"/>
        <w:numPr>
          <w:ilvl w:val="0"/>
          <w:numId w:val="25"/>
        </w:numPr>
        <w:rPr>
          <w:b w:val="0"/>
        </w:rPr>
      </w:pPr>
      <w:r>
        <w:rPr>
          <w:b w:val="0"/>
        </w:rPr>
        <w:t>M</w:t>
      </w:r>
      <w:r w:rsidR="00A00687">
        <w:rPr>
          <w:b w:val="0"/>
        </w:rPr>
        <w:t xml:space="preserve">aterials brought before, or presented at, </w:t>
      </w:r>
      <w:r>
        <w:rPr>
          <w:b w:val="0"/>
        </w:rPr>
        <w:t xml:space="preserve">a </w:t>
      </w:r>
      <w:r w:rsidR="00A00687">
        <w:rPr>
          <w:b w:val="0"/>
        </w:rPr>
        <w:t>meeting will be made available to the public for review at the time of the scheduled meeting</w:t>
      </w:r>
    </w:p>
    <w:p w14:paraId="59438F74" w14:textId="6E610172" w:rsidR="00A00687" w:rsidRPr="00A246A7" w:rsidRDefault="00A00687" w:rsidP="00A246A7">
      <w:pPr>
        <w:pStyle w:val="NormalBold"/>
        <w:numPr>
          <w:ilvl w:val="0"/>
          <w:numId w:val="25"/>
        </w:numPr>
        <w:rPr>
          <w:b w:val="0"/>
        </w:rPr>
      </w:pPr>
      <w:r>
        <w:rPr>
          <w:b w:val="0"/>
        </w:rPr>
        <w:t>Members of the public may attend any meeting or portion of a meeting that is not closed to the public and may, at the determination of the Co-chairs and DFO, offer oral comments during the public comment portion of the agenda</w:t>
      </w:r>
    </w:p>
    <w:p w14:paraId="05E0751B" w14:textId="08AB72D6" w:rsidR="0076018B" w:rsidRPr="0076018B" w:rsidRDefault="0076018B" w:rsidP="00CD68B6">
      <w:pPr>
        <w:pStyle w:val="NumberList"/>
        <w:numPr>
          <w:ilvl w:val="0"/>
          <w:numId w:val="38"/>
        </w:numPr>
      </w:pPr>
      <w:r w:rsidRPr="0076018B">
        <w:t>Frequency</w:t>
      </w:r>
    </w:p>
    <w:p w14:paraId="719E0AF3" w14:textId="0EF94D7A" w:rsidR="002D5166" w:rsidRPr="0076018B" w:rsidRDefault="0056733D" w:rsidP="00CD68B6">
      <w:pPr>
        <w:pStyle w:val="NumberList"/>
      </w:pPr>
      <w:r w:rsidRPr="0076018B">
        <w:t>The Assumable Waters Subcommi</w:t>
      </w:r>
      <w:r w:rsidR="004D5832" w:rsidRPr="0076018B">
        <w:t xml:space="preserve">ttee will meet in-person or via </w:t>
      </w:r>
      <w:r w:rsidRPr="0076018B">
        <w:t xml:space="preserve">video/teleconference approximately four </w:t>
      </w:r>
      <w:r w:rsidR="00472A7C" w:rsidRPr="0076018B">
        <w:t xml:space="preserve">(4) </w:t>
      </w:r>
      <w:r w:rsidRPr="0076018B">
        <w:t>to six</w:t>
      </w:r>
      <w:r w:rsidR="00472A7C" w:rsidRPr="0076018B">
        <w:t xml:space="preserve"> (6)</w:t>
      </w:r>
      <w:r w:rsidRPr="0076018B">
        <w:t xml:space="preserve"> times. </w:t>
      </w:r>
      <w:r w:rsidR="002D5166" w:rsidRPr="0076018B">
        <w:t xml:space="preserve">In addition to full </w:t>
      </w:r>
      <w:r w:rsidR="00DF1C87" w:rsidRPr="0076018B">
        <w:t>s</w:t>
      </w:r>
      <w:r w:rsidR="00FB21B5" w:rsidRPr="0076018B">
        <w:t>ubcommittee</w:t>
      </w:r>
      <w:r w:rsidR="002D5166" w:rsidRPr="0076018B">
        <w:t xml:space="preserve"> meetings, members may be asked to participate in ad hoc workgroups to address specific issues.</w:t>
      </w:r>
    </w:p>
    <w:p w14:paraId="0EC7CDCC" w14:textId="6685A089" w:rsidR="004D5832" w:rsidRPr="0076018B" w:rsidRDefault="004D5832" w:rsidP="00CD68B6">
      <w:pPr>
        <w:pStyle w:val="NumberList"/>
        <w:numPr>
          <w:ilvl w:val="0"/>
          <w:numId w:val="38"/>
        </w:numPr>
      </w:pPr>
      <w:r w:rsidRPr="0076018B">
        <w:t>Open Meetings</w:t>
      </w:r>
    </w:p>
    <w:p w14:paraId="5716EEA8" w14:textId="4B58F2AA" w:rsidR="0056733D" w:rsidRDefault="0056733D" w:rsidP="00CD68B6">
      <w:pPr>
        <w:pStyle w:val="NumberList"/>
      </w:pPr>
      <w:r>
        <w:t xml:space="preserve">All meetings and teleconferences </w:t>
      </w:r>
      <w:r w:rsidR="00380139">
        <w:t xml:space="preserve">will </w:t>
      </w:r>
      <w:r>
        <w:t xml:space="preserve">be publicly noticed </w:t>
      </w:r>
      <w:r w:rsidR="002D5166">
        <w:t xml:space="preserve">in the </w:t>
      </w:r>
      <w:r w:rsidR="002D5166" w:rsidRPr="001C5FA2">
        <w:rPr>
          <w:i/>
        </w:rPr>
        <w:t>Federal Register</w:t>
      </w:r>
      <w:r w:rsidR="002D5166">
        <w:t xml:space="preserve"> </w:t>
      </w:r>
      <w:r w:rsidR="002C5430">
        <w:t xml:space="preserve">15 days </w:t>
      </w:r>
      <w:r w:rsidR="002D5166">
        <w:t xml:space="preserve">prior to the meeting and will be </w:t>
      </w:r>
      <w:r>
        <w:t xml:space="preserve">open to the public. </w:t>
      </w:r>
    </w:p>
    <w:p w14:paraId="75697CA3" w14:textId="04596DFB" w:rsidR="004D5832" w:rsidRPr="0076018B" w:rsidRDefault="004D5832" w:rsidP="00CD68B6">
      <w:pPr>
        <w:pStyle w:val="NumberList"/>
        <w:numPr>
          <w:ilvl w:val="0"/>
          <w:numId w:val="38"/>
        </w:numPr>
      </w:pPr>
      <w:r w:rsidRPr="0076018B">
        <w:t>Agendas</w:t>
      </w:r>
    </w:p>
    <w:p w14:paraId="25CE8FE7" w14:textId="6ADF6D80" w:rsidR="002D5166" w:rsidRDefault="002D5166" w:rsidP="00CD68B6">
      <w:pPr>
        <w:pStyle w:val="NumberList"/>
      </w:pPr>
      <w:r>
        <w:t xml:space="preserve">Meeting agendas will be developed </w:t>
      </w:r>
      <w:r w:rsidR="007159D5">
        <w:t xml:space="preserve">prior to each meeting </w:t>
      </w:r>
      <w:r>
        <w:t>by the</w:t>
      </w:r>
      <w:r w:rsidR="001F63F7">
        <w:t xml:space="preserve"> DFO, in consultation with the </w:t>
      </w:r>
      <w:r w:rsidR="00472A7C">
        <w:t>chairperson(s)</w:t>
      </w:r>
      <w:r w:rsidR="00205986">
        <w:t xml:space="preserve"> and facilitator</w:t>
      </w:r>
      <w:r>
        <w:t xml:space="preserve">. </w:t>
      </w:r>
      <w:r w:rsidR="007159D5">
        <w:t xml:space="preserve">Agendas will provide clarity regarding specific tasks and issues to cover, and specific timeframes for each topic. </w:t>
      </w:r>
      <w:r w:rsidR="00205986">
        <w:t xml:space="preserve">Agendas and meeting materials will be made publicly available via a webpage on the NACEPT website </w:t>
      </w:r>
      <w:r w:rsidR="00F94109">
        <w:t>and/</w:t>
      </w:r>
      <w:r w:rsidR="00205986">
        <w:t>or via the Federal Register</w:t>
      </w:r>
    </w:p>
    <w:p w14:paraId="2C9BF934" w14:textId="49DD6D2A" w:rsidR="00FB6997" w:rsidRPr="006D4D84" w:rsidRDefault="00FB6997" w:rsidP="00CD68B6">
      <w:pPr>
        <w:pStyle w:val="ListParagraph"/>
        <w:numPr>
          <w:ilvl w:val="0"/>
          <w:numId w:val="38"/>
        </w:numPr>
      </w:pPr>
      <w:r w:rsidRPr="006D4D84">
        <w:t>Summaries</w:t>
      </w:r>
      <w:r w:rsidR="00CD68B6" w:rsidRPr="006D4D84">
        <w:t xml:space="preserve"> and Records</w:t>
      </w:r>
      <w:r w:rsidR="002C5430" w:rsidRPr="006D4D84">
        <w:t xml:space="preserve"> </w:t>
      </w:r>
    </w:p>
    <w:p w14:paraId="740746BA" w14:textId="77777777" w:rsidR="00FB6997" w:rsidRPr="005C5DCB" w:rsidRDefault="00FB6997" w:rsidP="00FB6997">
      <w:pPr>
        <w:ind w:left="450"/>
      </w:pPr>
      <w:r w:rsidRPr="005C5DCB">
        <w:t xml:space="preserve">Meeting summaries of the proceedings will be prepared by the facilitators after each meeting and shared with the co-chairs for review, then distributed to the members in draft before the next meeting.  Draft meeting summaries will be posted on the website prior to the next Subcommittee meeting.  Summaries will only be final </w:t>
      </w:r>
      <w:r w:rsidRPr="005C5DCB">
        <w:rPr>
          <w:u w:val="single"/>
        </w:rPr>
        <w:t>after</w:t>
      </w:r>
      <w:r w:rsidRPr="005C5DCB">
        <w:t xml:space="preserve"> review and approval by the full Subcommittee at the subsequent meeting (with the exception of the final meeting summary which will be finalized by the co-chairs).</w:t>
      </w:r>
    </w:p>
    <w:p w14:paraId="7ADBD5C4" w14:textId="29491243" w:rsidR="00E12C58" w:rsidRDefault="002C5430" w:rsidP="00CD68B6">
      <w:pPr>
        <w:ind w:left="360"/>
        <w:rPr>
          <w:rFonts w:ascii="Calibri" w:hAnsi="Calibri"/>
          <w:color w:val="1F497D"/>
        </w:rPr>
      </w:pPr>
      <w:r w:rsidRPr="005C5DCB">
        <w:t>An official record of Subcommittee deliberations will be kept and be made publicly available.  Drafts will be provided to Subcommittee members for review and comment before they are made final.  The chairperson(s) will be responsible for obtaining final report approval from subcommittee members based on deliberations at a public meeting. The DFO will ensu</w:t>
      </w:r>
      <w:r w:rsidR="00FB6997" w:rsidRPr="005C5DCB">
        <w:t>re that the meeting summaries and final report</w:t>
      </w:r>
      <w:r w:rsidRPr="005C5DCB">
        <w:t xml:space="preserve"> are </w:t>
      </w:r>
      <w:r w:rsidR="00FB6997" w:rsidRPr="005C5DCB">
        <w:t xml:space="preserve">kept as records </w:t>
      </w:r>
      <w:r w:rsidRPr="005C5DCB">
        <w:t xml:space="preserve">and that the chairperson(s) </w:t>
      </w:r>
      <w:r w:rsidR="00FB6997" w:rsidRPr="005C5DCB">
        <w:t>certify the summaries and the final report</w:t>
      </w:r>
      <w:r w:rsidRPr="005C5DCB">
        <w:t xml:space="preserve"> as accurate and complete within 90 </w:t>
      </w:r>
      <w:r w:rsidRPr="005C5DCB">
        <w:lastRenderedPageBreak/>
        <w:t>days</w:t>
      </w:r>
      <w:r w:rsidR="00FB6997" w:rsidRPr="005C5DCB">
        <w:t xml:space="preserve"> of the last meeting</w:t>
      </w:r>
      <w:r w:rsidRPr="005C5DCB">
        <w:t>.</w:t>
      </w:r>
      <w:r w:rsidR="00AD7389" w:rsidRPr="005C5DCB">
        <w:rPr>
          <w:rStyle w:val="FootnoteReference"/>
        </w:rPr>
        <w:footnoteReference w:id="2"/>
      </w:r>
      <w:r w:rsidRPr="005C5DCB">
        <w:t xml:space="preserve"> All agendas, meeting summaries and records will be posted </w:t>
      </w:r>
      <w:r w:rsidR="00021615" w:rsidRPr="005C5DCB">
        <w:t xml:space="preserve">on the Assumable Waters webpage which can be found on the NACEPT website at: </w:t>
      </w:r>
      <w:r w:rsidR="006F129A">
        <w:rPr>
          <w:rFonts w:ascii="Calibri" w:hAnsi="Calibri"/>
          <w:color w:val="1F497D"/>
        </w:rPr>
        <w:t> </w:t>
      </w:r>
      <w:hyperlink r:id="rId7" w:history="1">
        <w:r w:rsidR="006F129A" w:rsidRPr="004059A8">
          <w:rPr>
            <w:rStyle w:val="Hyperlink"/>
            <w:rFonts w:ascii="Calibri" w:hAnsi="Calibri"/>
          </w:rPr>
          <w:t>http://www2.epa.gov/cwa-404/assumable-waters-sub-committee</w:t>
        </w:r>
      </w:hyperlink>
    </w:p>
    <w:p w14:paraId="2D2B7CE7" w14:textId="3C125EAE" w:rsidR="00DE7531" w:rsidRDefault="00AC1CA5" w:rsidP="00DE7531">
      <w:pPr>
        <w:pStyle w:val="NormalBold"/>
      </w:pPr>
      <w:r>
        <w:t xml:space="preserve">     </w:t>
      </w:r>
      <w:r w:rsidR="00DE7531">
        <w:t>V</w:t>
      </w:r>
      <w:r w:rsidR="004D5832">
        <w:t>II</w:t>
      </w:r>
      <w:r w:rsidR="00DE7531">
        <w:t>. Decision-Making</w:t>
      </w:r>
    </w:p>
    <w:p w14:paraId="4DC91079" w14:textId="4FADF1A2" w:rsidR="00CD68B6" w:rsidRPr="006D4D84" w:rsidRDefault="00CD68B6" w:rsidP="00CD68B6">
      <w:pPr>
        <w:pStyle w:val="NumberList"/>
        <w:numPr>
          <w:ilvl w:val="0"/>
          <w:numId w:val="39"/>
        </w:numPr>
      </w:pPr>
      <w:r w:rsidRPr="006D4D84">
        <w:t>Definition of Consensus</w:t>
      </w:r>
    </w:p>
    <w:p w14:paraId="78636841" w14:textId="2AF785B1" w:rsidR="00DE7531" w:rsidRDefault="00DE7531" w:rsidP="00CD68B6">
      <w:pPr>
        <w:pStyle w:val="NumberList"/>
      </w:pPr>
      <w:r>
        <w:t xml:space="preserve">The </w:t>
      </w:r>
      <w:r w:rsidR="00DF1C87">
        <w:t>s</w:t>
      </w:r>
      <w:r w:rsidR="00FB21B5">
        <w:t>ubcommittee</w:t>
      </w:r>
      <w:r>
        <w:t xml:space="preserve"> will strive to make decisions by consensus.  Consensus is defined as no dissent by any member of the </w:t>
      </w:r>
      <w:r w:rsidR="00DF1C87">
        <w:t>s</w:t>
      </w:r>
      <w:r w:rsidR="00FB21B5">
        <w:t>ubcommittee</w:t>
      </w:r>
      <w:r>
        <w:t xml:space="preserve">.  </w:t>
      </w:r>
    </w:p>
    <w:p w14:paraId="18A38A9D" w14:textId="09E1C8DB" w:rsidR="00DE7531" w:rsidRPr="002D5166" w:rsidRDefault="00DE7531" w:rsidP="00CD68B6">
      <w:pPr>
        <w:pStyle w:val="NumberList"/>
      </w:pPr>
      <w:r w:rsidRPr="002D5166">
        <w:t xml:space="preserve">Members should not block or withhold consensus unless they have serious reservations with the approach or solution that is proposed for consensus. </w:t>
      </w:r>
      <w:r w:rsidR="00F67DAC">
        <w:t xml:space="preserve">  Members who dissent are expected to make clear their reasons why and to offer alternatives or options that would possibly meet both the dissenting member’s interests and the interests of other members.</w:t>
      </w:r>
    </w:p>
    <w:p w14:paraId="6C7EA8EB" w14:textId="77777777" w:rsidR="004D5832" w:rsidRDefault="00DE7531" w:rsidP="00CD68B6">
      <w:pPr>
        <w:pStyle w:val="NumberList"/>
      </w:pPr>
      <w:r w:rsidRPr="002D5166">
        <w:t xml:space="preserve">Absence will be equivalent to not dissenting. </w:t>
      </w:r>
    </w:p>
    <w:p w14:paraId="659043D8" w14:textId="52232905" w:rsidR="00DE7531" w:rsidRPr="002D5166" w:rsidRDefault="00DE7531" w:rsidP="00CD68B6">
      <w:pPr>
        <w:pStyle w:val="NumberList"/>
      </w:pPr>
      <w:r w:rsidRPr="002D5166">
        <w:t xml:space="preserve">All consensus agreements reached are assumed to be tentative agreements until members of the </w:t>
      </w:r>
      <w:r w:rsidR="00DF1C87">
        <w:t>s</w:t>
      </w:r>
      <w:r w:rsidR="00FB21B5">
        <w:t>ubcommittee</w:t>
      </w:r>
      <w:r w:rsidRPr="002D5166">
        <w:t xml:space="preserve"> agree by consensus to make them final. </w:t>
      </w:r>
    </w:p>
    <w:p w14:paraId="6A87978C" w14:textId="0805B961" w:rsidR="00DE7531" w:rsidRPr="00E9353F" w:rsidRDefault="00DE7531" w:rsidP="00CD68B6">
      <w:pPr>
        <w:pStyle w:val="NumberList"/>
      </w:pPr>
      <w:r w:rsidRPr="00E9353F">
        <w:t xml:space="preserve">If there is dissent on procedural matters, the </w:t>
      </w:r>
      <w:r w:rsidR="00DF1C87">
        <w:t>co-chairs</w:t>
      </w:r>
      <w:r w:rsidR="00F67DAC">
        <w:t>, DFO,</w:t>
      </w:r>
      <w:r>
        <w:t xml:space="preserve"> and facilitator</w:t>
      </w:r>
      <w:r w:rsidRPr="00E9353F">
        <w:t xml:space="preserve"> will</w:t>
      </w:r>
      <w:r>
        <w:t xml:space="preserve"> consult,</w:t>
      </w:r>
      <w:r w:rsidRPr="00E9353F">
        <w:t xml:space="preserve"> taking into</w:t>
      </w:r>
      <w:r>
        <w:t xml:space="preserve"> account the views of </w:t>
      </w:r>
      <w:r w:rsidR="00DF1C87">
        <w:t>s</w:t>
      </w:r>
      <w:r w:rsidR="00FB21B5">
        <w:t>ubcommittee</w:t>
      </w:r>
      <w:r w:rsidRPr="00E9353F">
        <w:t xml:space="preserve"> members</w:t>
      </w:r>
      <w:r>
        <w:t>, and develop a way forward</w:t>
      </w:r>
      <w:r w:rsidRPr="00E9353F">
        <w:t xml:space="preserve">.  </w:t>
      </w:r>
    </w:p>
    <w:p w14:paraId="6ECDCD25" w14:textId="5FADB422" w:rsidR="00DE7531" w:rsidRPr="007159D5" w:rsidRDefault="00DE7531" w:rsidP="00CD68B6">
      <w:pPr>
        <w:pStyle w:val="NumberList"/>
      </w:pPr>
      <w:r>
        <w:t xml:space="preserve">If consensus is not possible on substantive matters, the record of the discussion will reflect the different points of view expressed and the underlying reasons for those differing views. NACEPT will be provided the record of discussion which details differing viewpoints for issues on which consensus could not be reached. </w:t>
      </w:r>
    </w:p>
    <w:p w14:paraId="2E6894A0" w14:textId="0F964B96" w:rsidR="00CD68B6" w:rsidRDefault="00CD68B6" w:rsidP="00CD68B6">
      <w:pPr>
        <w:pStyle w:val="NumberList"/>
        <w:numPr>
          <w:ilvl w:val="0"/>
          <w:numId w:val="39"/>
        </w:numPr>
      </w:pPr>
      <w:r>
        <w:t>Role of NACEPT</w:t>
      </w:r>
    </w:p>
    <w:p w14:paraId="6843E4DF" w14:textId="0B9B1012" w:rsidR="00DE7531" w:rsidRDefault="00DE7531" w:rsidP="00CD68B6">
      <w:pPr>
        <w:pStyle w:val="NumberList"/>
      </w:pPr>
      <w:r>
        <w:t>T</w:t>
      </w:r>
      <w:r w:rsidRPr="004B46FA">
        <w:t xml:space="preserve">he </w:t>
      </w:r>
      <w:r w:rsidR="00DF1C87">
        <w:t>s</w:t>
      </w:r>
      <w:r w:rsidR="00FB21B5">
        <w:t>ubcommittee</w:t>
      </w:r>
      <w:r w:rsidRPr="004B46FA">
        <w:t xml:space="preserve"> does not have authority to make r</w:t>
      </w:r>
      <w:r>
        <w:t>ecommendations directly to the A</w:t>
      </w:r>
      <w:r w:rsidR="00B72098">
        <w:t>gency.  I</w:t>
      </w:r>
      <w:r w:rsidRPr="004B46FA">
        <w:t xml:space="preserve">t must pass its recommendations to the parent </w:t>
      </w:r>
      <w:r w:rsidR="00DF1C87">
        <w:t>c</w:t>
      </w:r>
      <w:r w:rsidRPr="004B46FA">
        <w:t xml:space="preserve">ommittee (NACEPT). After a review of </w:t>
      </w:r>
      <w:r w:rsidR="00DF1C87">
        <w:t>s</w:t>
      </w:r>
      <w:r w:rsidR="00FB21B5">
        <w:t>ubcommittee</w:t>
      </w:r>
      <w:r w:rsidRPr="004B46FA">
        <w:t xml:space="preserve"> </w:t>
      </w:r>
      <w:r>
        <w:t xml:space="preserve">recommendations </w:t>
      </w:r>
      <w:r w:rsidRPr="004B46FA">
        <w:t xml:space="preserve">to ensure they are within </w:t>
      </w:r>
      <w:r>
        <w:t xml:space="preserve">the </w:t>
      </w:r>
      <w:r w:rsidRPr="004B46FA">
        <w:t>scope of</w:t>
      </w:r>
      <w:r>
        <w:t xml:space="preserve"> the</w:t>
      </w:r>
      <w:r w:rsidRPr="004B46FA">
        <w:t xml:space="preserve"> </w:t>
      </w:r>
      <w:r w:rsidR="00DF1C87">
        <w:t>s</w:t>
      </w:r>
      <w:r w:rsidR="00FB21B5">
        <w:t>ubcommittee</w:t>
      </w:r>
      <w:r>
        <w:t xml:space="preserve">’s jurisdiction, </w:t>
      </w:r>
      <w:r w:rsidRPr="004B46FA">
        <w:t xml:space="preserve">NACEPT </w:t>
      </w:r>
      <w:r w:rsidR="00E940A6">
        <w:t>will discus</w:t>
      </w:r>
      <w:r w:rsidR="00FB0A68">
        <w:t>s</w:t>
      </w:r>
      <w:r w:rsidR="00E940A6">
        <w:t xml:space="preserve"> and deliberate on the </w:t>
      </w:r>
      <w:r w:rsidRPr="004B46FA">
        <w:t xml:space="preserve">recommendations </w:t>
      </w:r>
      <w:r w:rsidR="00E940A6">
        <w:t>and may revise,</w:t>
      </w:r>
      <w:r w:rsidR="00EC7D94">
        <w:t xml:space="preserve"> reject or approve the recommendations.</w:t>
      </w:r>
    </w:p>
    <w:p w14:paraId="5DD40140" w14:textId="77777777" w:rsidR="00AC1CA5" w:rsidRDefault="00AC1CA5" w:rsidP="007E548B">
      <w:pPr>
        <w:pStyle w:val="NormalBold"/>
      </w:pPr>
      <w:r>
        <w:t xml:space="preserve">     </w:t>
      </w:r>
    </w:p>
    <w:p w14:paraId="0A487777" w14:textId="2940D283" w:rsidR="007E548B" w:rsidRDefault="007E548B" w:rsidP="007E548B">
      <w:pPr>
        <w:pStyle w:val="NormalBold"/>
      </w:pPr>
      <w:r>
        <w:lastRenderedPageBreak/>
        <w:t>VI</w:t>
      </w:r>
      <w:r w:rsidR="00CD68B6">
        <w:t>II</w:t>
      </w:r>
      <w:r>
        <w:t>. Meeting Facilitation</w:t>
      </w:r>
    </w:p>
    <w:p w14:paraId="191BB4F3" w14:textId="4083D838" w:rsidR="00C93D4F" w:rsidRDefault="00205986" w:rsidP="00CD68B6">
      <w:pPr>
        <w:pStyle w:val="NumberList"/>
      </w:pPr>
      <w:r>
        <w:t xml:space="preserve">EPA will provide a neutral facilitator or facilitation team for the </w:t>
      </w:r>
      <w:r w:rsidR="00DF1C87">
        <w:t>s</w:t>
      </w:r>
      <w:r w:rsidR="00FB21B5">
        <w:t>ubcommittee</w:t>
      </w:r>
      <w:r>
        <w:t xml:space="preserve">. </w:t>
      </w:r>
    </w:p>
    <w:p w14:paraId="3CF95A87" w14:textId="291099AA" w:rsidR="001F63F7" w:rsidRPr="001F63F7" w:rsidRDefault="001F63F7" w:rsidP="00CD68B6">
      <w:pPr>
        <w:pStyle w:val="NumberList"/>
      </w:pPr>
      <w:r>
        <w:t xml:space="preserve">The facilitator is to remain </w:t>
      </w:r>
      <w:r w:rsidR="00F67DAC">
        <w:t xml:space="preserve">non-partisan </w:t>
      </w:r>
      <w:r w:rsidR="001215F1">
        <w:t>with</w:t>
      </w:r>
      <w:r>
        <w:t xml:space="preserve"> regard to the topic</w:t>
      </w:r>
      <w:r w:rsidR="001215F1">
        <w:t xml:space="preserve">s discussed and outcomes achieved by the </w:t>
      </w:r>
      <w:r w:rsidR="00DF1C87">
        <w:t>s</w:t>
      </w:r>
      <w:r w:rsidR="00FB21B5">
        <w:t>ubcommittee</w:t>
      </w:r>
      <w:r>
        <w:t>.</w:t>
      </w:r>
    </w:p>
    <w:p w14:paraId="4512BE31" w14:textId="56C438B6" w:rsidR="00C93D4F" w:rsidRDefault="00C93D4F" w:rsidP="00CD68B6">
      <w:pPr>
        <w:pStyle w:val="NumberList"/>
      </w:pPr>
      <w:r>
        <w:t xml:space="preserve">The facilitator will </w:t>
      </w:r>
      <w:r w:rsidR="001F63F7">
        <w:t xml:space="preserve">be available to facilitate all </w:t>
      </w:r>
      <w:r w:rsidR="00DF1C87">
        <w:t>s</w:t>
      </w:r>
      <w:r w:rsidR="00FB21B5">
        <w:t>ubcommittee</w:t>
      </w:r>
      <w:r>
        <w:t xml:space="preserve"> </w:t>
      </w:r>
      <w:r w:rsidR="00E940A6">
        <w:t xml:space="preserve">and </w:t>
      </w:r>
      <w:r w:rsidR="001F63F7">
        <w:t>workgroup</w:t>
      </w:r>
      <w:r w:rsidR="00E940A6">
        <w:t xml:space="preserve"> meeting</w:t>
      </w:r>
      <w:r w:rsidR="001F63F7">
        <w:t>s</w:t>
      </w:r>
      <w:r>
        <w:t>.</w:t>
      </w:r>
    </w:p>
    <w:p w14:paraId="655A46D7" w14:textId="099A4C54" w:rsidR="00F67DAC" w:rsidRDefault="00EC7D94" w:rsidP="00CD68B6">
      <w:pPr>
        <w:pStyle w:val="NumberList"/>
      </w:pPr>
      <w:r>
        <w:t>If requested, the f</w:t>
      </w:r>
      <w:r w:rsidR="00F67DAC">
        <w:t>acilitator is expected to hold the confidence of any member who speaks to the facilitator confidentiality.</w:t>
      </w:r>
    </w:p>
    <w:p w14:paraId="3E8507F8" w14:textId="0BCF6D29" w:rsidR="00F67DAC" w:rsidRPr="00F67DAC" w:rsidRDefault="00F67DAC" w:rsidP="00CD68B6">
      <w:pPr>
        <w:pStyle w:val="NumberList"/>
      </w:pPr>
      <w:r>
        <w:t>Any concerns about the performance of the facilitator should be raised to the DFO.</w:t>
      </w:r>
    </w:p>
    <w:p w14:paraId="6CA29F82" w14:textId="1BFEC237" w:rsidR="00C93D4F" w:rsidRDefault="00AC1CA5" w:rsidP="00C93D4F">
      <w:pPr>
        <w:pStyle w:val="NormalBold"/>
      </w:pPr>
      <w:r>
        <w:t xml:space="preserve">     </w:t>
      </w:r>
      <w:r w:rsidR="00AF78BB">
        <w:t>IX</w:t>
      </w:r>
      <w:r w:rsidR="00C93D4F">
        <w:t>. Safeguards for Members</w:t>
      </w:r>
    </w:p>
    <w:p w14:paraId="58FD9190" w14:textId="560A4325" w:rsidR="00AF78BB" w:rsidRDefault="00AF78BB" w:rsidP="00CD68B6">
      <w:pPr>
        <w:pStyle w:val="NumberList"/>
        <w:numPr>
          <w:ilvl w:val="0"/>
          <w:numId w:val="40"/>
        </w:numPr>
      </w:pPr>
      <w:r>
        <w:t>Good Faith</w:t>
      </w:r>
      <w:r w:rsidR="00C93D4F" w:rsidRPr="00C93D4F">
        <w:t xml:space="preserve"> </w:t>
      </w:r>
    </w:p>
    <w:p w14:paraId="35CE2DF2" w14:textId="12C62725" w:rsidR="00C93D4F" w:rsidRDefault="00C93D4F" w:rsidP="00CD68B6">
      <w:pPr>
        <w:pStyle w:val="NumberList"/>
      </w:pPr>
      <w:r w:rsidRPr="00C93D4F">
        <w:t>All members agree to act in good faith in all aspects of t</w:t>
      </w:r>
      <w:r w:rsidR="009D5A60">
        <w:t>he process</w:t>
      </w:r>
      <w:r w:rsidRPr="00C93D4F">
        <w:t xml:space="preserve">. </w:t>
      </w:r>
      <w:r w:rsidR="009D5A60">
        <w:t>G</w:t>
      </w:r>
      <w:r w:rsidRPr="00C93D4F">
        <w:t>ood faith includes a willingness to bring all issues to the table</w:t>
      </w:r>
      <w:r w:rsidR="00472A7C">
        <w:t>,</w:t>
      </w:r>
      <w:r w:rsidRPr="00C93D4F">
        <w:t xml:space="preserve"> </w:t>
      </w:r>
      <w:r w:rsidR="00472A7C">
        <w:t xml:space="preserve">and </w:t>
      </w:r>
      <w:r w:rsidRPr="00C93D4F">
        <w:t xml:space="preserve">explore openly all relevant and productive ideas that may emerge from the discussion of the </w:t>
      </w:r>
      <w:r w:rsidR="00DF1C87">
        <w:t>s</w:t>
      </w:r>
      <w:r w:rsidR="00FB21B5">
        <w:t>ubcommittee</w:t>
      </w:r>
      <w:r w:rsidRPr="00C93D4F">
        <w:t xml:space="preserve">. Specific offers, positions, or statements made during the </w:t>
      </w:r>
      <w:r w:rsidR="009D5A60">
        <w:t>deliberations</w:t>
      </w:r>
      <w:r w:rsidRPr="00C93D4F">
        <w:t xml:space="preserve"> may not be used by other members for any p</w:t>
      </w:r>
      <w:r w:rsidR="009D5A60">
        <w:t xml:space="preserve">urpose outside </w:t>
      </w:r>
      <w:r w:rsidR="00DF1C87">
        <w:t>s</w:t>
      </w:r>
      <w:r w:rsidR="00FB21B5">
        <w:t>ubcommittee</w:t>
      </w:r>
      <w:r w:rsidR="009D5A60">
        <w:t xml:space="preserve"> meetings </w:t>
      </w:r>
      <w:r w:rsidRPr="00C93D4F">
        <w:t xml:space="preserve">or as a basis for future litigation. It is the intent of the </w:t>
      </w:r>
      <w:r w:rsidR="00DF1C87">
        <w:t>s</w:t>
      </w:r>
      <w:r w:rsidR="00FB21B5">
        <w:t>ubcommittee</w:t>
      </w:r>
      <w:r w:rsidRPr="00C93D4F">
        <w:t xml:space="preserve"> that other attendees of the meetings also voluntarily comply with this provis</w:t>
      </w:r>
      <w:r w:rsidR="009D5A60">
        <w:t xml:space="preserve">ion in order to support the </w:t>
      </w:r>
      <w:r w:rsidRPr="00C93D4F">
        <w:t>process by encouraging the free and open exchange of ideas, views</w:t>
      </w:r>
      <w:r w:rsidR="009D5A60">
        <w:t>,</w:t>
      </w:r>
      <w:r w:rsidRPr="00C93D4F">
        <w:t xml:space="preserve"> and information.</w:t>
      </w:r>
    </w:p>
    <w:p w14:paraId="4686D800" w14:textId="16EB2B76" w:rsidR="00AF78BB" w:rsidRDefault="00CD68B6" w:rsidP="00CD68B6">
      <w:pPr>
        <w:pStyle w:val="NumberList"/>
        <w:numPr>
          <w:ilvl w:val="0"/>
          <w:numId w:val="40"/>
        </w:numPr>
      </w:pPr>
      <w:r>
        <w:t>Member Guidelines</w:t>
      </w:r>
    </w:p>
    <w:p w14:paraId="41C57029" w14:textId="3E195BCE" w:rsidR="00260F3A" w:rsidRDefault="00260F3A" w:rsidP="00CD68B6">
      <w:pPr>
        <w:pStyle w:val="NumberList"/>
      </w:pPr>
      <w:r>
        <w:t xml:space="preserve">To enhance the prospect of </w:t>
      </w:r>
      <w:r w:rsidR="00234BCB">
        <w:t xml:space="preserve">achieving a </w:t>
      </w:r>
      <w:r>
        <w:t>consensus</w:t>
      </w:r>
      <w:r w:rsidR="00234BCB">
        <w:t xml:space="preserve"> on </w:t>
      </w:r>
      <w:r w:rsidR="00DF1C87">
        <w:t>s</w:t>
      </w:r>
      <w:r w:rsidR="00FB21B5">
        <w:t>ubcommittee</w:t>
      </w:r>
      <w:r w:rsidR="00234BCB">
        <w:t xml:space="preserve"> recommendations</w:t>
      </w:r>
      <w:r>
        <w:t>,</w:t>
      </w:r>
      <w:r w:rsidR="00472A7C">
        <w:t xml:space="preserve"> </w:t>
      </w:r>
      <w:r w:rsidR="00DF1C87">
        <w:t>s</w:t>
      </w:r>
      <w:r w:rsidR="00FB21B5">
        <w:t>ubcommittee</w:t>
      </w:r>
      <w:r>
        <w:t xml:space="preserve"> members are asked to:</w:t>
      </w:r>
    </w:p>
    <w:p w14:paraId="4E6CA72A" w14:textId="77777777" w:rsidR="00260F3A" w:rsidRDefault="00260F3A" w:rsidP="00B72098">
      <w:pPr>
        <w:pStyle w:val="BulletList"/>
        <w:ind w:left="810"/>
      </w:pPr>
      <w:r>
        <w:t>Participate consistently in meetings;</w:t>
      </w:r>
    </w:p>
    <w:p w14:paraId="3955E108" w14:textId="77777777" w:rsidR="00260F3A" w:rsidRDefault="00260F3A" w:rsidP="00B72098">
      <w:pPr>
        <w:pStyle w:val="BulletList"/>
        <w:ind w:left="810"/>
      </w:pPr>
      <w:r>
        <w:t>Clearly and succinctly state their needs and concerns early in discussions;</w:t>
      </w:r>
    </w:p>
    <w:p w14:paraId="2EA6C387" w14:textId="77777777" w:rsidR="00260F3A" w:rsidRDefault="00260F3A" w:rsidP="00B72098">
      <w:pPr>
        <w:pStyle w:val="BulletList"/>
        <w:ind w:left="810"/>
      </w:pPr>
      <w:r>
        <w:t>Seek to understand other participant’s needs and concerns;</w:t>
      </w:r>
    </w:p>
    <w:p w14:paraId="4EA7E0CB" w14:textId="77777777" w:rsidR="00260F3A" w:rsidRDefault="00260F3A" w:rsidP="00B72098">
      <w:pPr>
        <w:pStyle w:val="BulletList"/>
        <w:ind w:left="810"/>
      </w:pPr>
      <w:r>
        <w:t>Actively participate in defining issues to be resolved;</w:t>
      </w:r>
    </w:p>
    <w:p w14:paraId="1967A1EB" w14:textId="77777777" w:rsidR="00260F3A" w:rsidRDefault="00260F3A" w:rsidP="00B72098">
      <w:pPr>
        <w:pStyle w:val="BulletList"/>
        <w:ind w:left="810"/>
      </w:pPr>
      <w:r>
        <w:t>Assist in securing and bringing forward the best available information;</w:t>
      </w:r>
    </w:p>
    <w:p w14:paraId="37BB6380" w14:textId="77777777" w:rsidR="00260F3A" w:rsidRDefault="00260F3A" w:rsidP="00B72098">
      <w:pPr>
        <w:pStyle w:val="BulletList"/>
        <w:ind w:left="810"/>
      </w:pPr>
      <w:r>
        <w:t>Strive to develop creative solutions to problems that address multiple concerns; and</w:t>
      </w:r>
    </w:p>
    <w:p w14:paraId="2AE50902" w14:textId="77777777" w:rsidR="0056733D" w:rsidRDefault="00260F3A" w:rsidP="00B72098">
      <w:pPr>
        <w:pStyle w:val="BulletList"/>
        <w:ind w:left="810"/>
      </w:pPr>
      <w:r>
        <w:t>Seek input from and report progress to colleagues, networks, and constituencies.</w:t>
      </w:r>
    </w:p>
    <w:p w14:paraId="56EF1A5E" w14:textId="14D81E3A" w:rsidR="00CD68B6" w:rsidRDefault="00CD68B6" w:rsidP="00CD68B6">
      <w:pPr>
        <w:pStyle w:val="NumberList"/>
        <w:numPr>
          <w:ilvl w:val="0"/>
          <w:numId w:val="40"/>
        </w:numPr>
      </w:pPr>
      <w:r>
        <w:t>Right to Withdraw</w:t>
      </w:r>
    </w:p>
    <w:p w14:paraId="2F974D98" w14:textId="2DD37372" w:rsidR="00C93D4F" w:rsidRDefault="00C93D4F" w:rsidP="00CD68B6">
      <w:pPr>
        <w:pStyle w:val="NumberList"/>
      </w:pPr>
      <w:r w:rsidRPr="00C93D4F">
        <w:t xml:space="preserve">Any member may withdraw from the </w:t>
      </w:r>
      <w:r w:rsidR="00472A7C">
        <w:t>deliberations</w:t>
      </w:r>
      <w:r w:rsidRPr="00C93D4F">
        <w:t xml:space="preserve"> at any time without prejudice.</w:t>
      </w:r>
    </w:p>
    <w:p w14:paraId="2C48AD3F" w14:textId="762ED046" w:rsidR="00CD68B6" w:rsidRDefault="00C30F14" w:rsidP="00CD68B6">
      <w:pPr>
        <w:pStyle w:val="NumberList"/>
        <w:numPr>
          <w:ilvl w:val="0"/>
          <w:numId w:val="40"/>
        </w:numPr>
      </w:pPr>
      <w:r>
        <w:t>Media</w:t>
      </w:r>
      <w:r w:rsidR="00C93D4F">
        <w:t xml:space="preserve"> Statements. </w:t>
      </w:r>
    </w:p>
    <w:p w14:paraId="5A889F14" w14:textId="279A4135" w:rsidR="00C93D4F" w:rsidRDefault="00C93D4F" w:rsidP="00CD68B6">
      <w:pPr>
        <w:pStyle w:val="NumberList"/>
        <w:ind w:left="810"/>
      </w:pPr>
      <w:r>
        <w:lastRenderedPageBreak/>
        <w:t xml:space="preserve">No member </w:t>
      </w:r>
      <w:r w:rsidR="00290398">
        <w:t xml:space="preserve">should </w:t>
      </w:r>
      <w:r>
        <w:t>make public announcements or</w:t>
      </w:r>
      <w:r w:rsidR="00C30F14">
        <w:t xml:space="preserve"> hold discussions with the media</w:t>
      </w:r>
      <w:r>
        <w:t xml:space="preserve"> characterizing the position of</w:t>
      </w:r>
      <w:r w:rsidR="00290398">
        <w:t xml:space="preserve"> the subcommittee</w:t>
      </w:r>
      <w:r w:rsidR="00EC7D94">
        <w:t>, EPA,</w:t>
      </w:r>
      <w:r w:rsidR="00290398">
        <w:t xml:space="preserve"> or any other member of the subcommittee.</w:t>
      </w:r>
      <w:r>
        <w:t xml:space="preserve"> </w:t>
      </w:r>
      <w:r w:rsidR="00290398">
        <w:t>A</w:t>
      </w:r>
      <w:r>
        <w:t xml:space="preserve"> member</w:t>
      </w:r>
      <w:r w:rsidR="00290398">
        <w:t xml:space="preserve"> may</w:t>
      </w:r>
      <w:r w:rsidR="00EC7D94">
        <w:t xml:space="preserve"> </w:t>
      </w:r>
      <w:r w:rsidR="00290398">
        <w:t xml:space="preserve">characterize </w:t>
      </w:r>
      <w:r w:rsidR="00B72098">
        <w:t>her or his</w:t>
      </w:r>
      <w:r w:rsidR="00C30F14">
        <w:t xml:space="preserve"> own position with media</w:t>
      </w:r>
      <w:r>
        <w:t>.</w:t>
      </w:r>
      <w:r w:rsidR="009D5A60">
        <w:t xml:space="preserve"> </w:t>
      </w:r>
      <w:r w:rsidR="00DF1C87">
        <w:t>The co-chairs</w:t>
      </w:r>
      <w:r w:rsidR="00277FED">
        <w:t xml:space="preserve"> </w:t>
      </w:r>
      <w:r w:rsidR="00DF1C87">
        <w:t>will serve as points</w:t>
      </w:r>
      <w:r w:rsidR="00C30F14">
        <w:t xml:space="preserve"> of contact for media</w:t>
      </w:r>
      <w:r w:rsidR="009D5A60">
        <w:t xml:space="preserve"> inquiries </w:t>
      </w:r>
      <w:r w:rsidR="00234BCB">
        <w:t xml:space="preserve">regarding </w:t>
      </w:r>
      <w:r w:rsidR="00DF1C87">
        <w:t>s</w:t>
      </w:r>
      <w:r w:rsidR="00FB21B5">
        <w:t>ubcommittee</w:t>
      </w:r>
      <w:r w:rsidR="00234BCB">
        <w:t xml:space="preserve"> deliberations </w:t>
      </w:r>
      <w:r w:rsidR="00F67DAC">
        <w:t xml:space="preserve">as a whole </w:t>
      </w:r>
      <w:r w:rsidR="00C30F14">
        <w:t>during the process. During media</w:t>
      </w:r>
      <w:r w:rsidR="009D5A60">
        <w:t xml:space="preserve"> inquiries, the </w:t>
      </w:r>
      <w:r w:rsidR="00DF1C87">
        <w:t>co-chairs</w:t>
      </w:r>
      <w:r w:rsidR="00277FED">
        <w:t xml:space="preserve"> </w:t>
      </w:r>
      <w:r w:rsidR="009D5A60">
        <w:t xml:space="preserve">should limit their comments to talking points and key messages agreed upon by the full </w:t>
      </w:r>
      <w:r w:rsidR="00AF78BB">
        <w:t>s</w:t>
      </w:r>
      <w:r w:rsidR="00FB21B5">
        <w:t>ubcommittee</w:t>
      </w:r>
      <w:r w:rsidR="009D5A60">
        <w:t xml:space="preserve">. </w:t>
      </w:r>
      <w:r>
        <w:t xml:space="preserve"> </w:t>
      </w:r>
      <w:r w:rsidR="00DF1C87">
        <w:t xml:space="preserve"> </w:t>
      </w:r>
    </w:p>
    <w:p w14:paraId="73940EED" w14:textId="176D7952" w:rsidR="00CD68B6" w:rsidRPr="00CD68B6" w:rsidRDefault="00AC1CA5" w:rsidP="00CD68B6">
      <w:pPr>
        <w:rPr>
          <w:b/>
        </w:rPr>
      </w:pPr>
      <w:r>
        <w:rPr>
          <w:b/>
        </w:rPr>
        <w:t xml:space="preserve">      </w:t>
      </w:r>
      <w:r w:rsidR="00CD68B6" w:rsidRPr="00CD68B6">
        <w:rPr>
          <w:b/>
        </w:rPr>
        <w:t xml:space="preserve">X.  </w:t>
      </w:r>
      <w:r w:rsidR="008C1C61" w:rsidRPr="00CD68B6">
        <w:rPr>
          <w:b/>
        </w:rPr>
        <w:t>Docket</w:t>
      </w:r>
      <w:r w:rsidR="00CD68B6">
        <w:rPr>
          <w:b/>
        </w:rPr>
        <w:t xml:space="preserve"> and Subcommittee Website</w:t>
      </w:r>
    </w:p>
    <w:p w14:paraId="44CDD237" w14:textId="74188913" w:rsidR="000A4F01" w:rsidRDefault="00AB57F6" w:rsidP="002C5430">
      <w:pPr>
        <w:ind w:left="360"/>
        <w:rPr>
          <w:rFonts w:ascii="Calibri" w:hAnsi="Calibri"/>
          <w:color w:val="1F497D"/>
        </w:rPr>
      </w:pPr>
      <w:r>
        <w:t xml:space="preserve">The EPA docket for this subcommittee can be found at EPA-HQ-OW-2015-0056. The webpage for the subcommittee can be found on the NACEPT website at: </w:t>
      </w:r>
      <w:r w:rsidR="00EC7D94">
        <w:rPr>
          <w:rFonts w:ascii="Calibri" w:hAnsi="Calibri"/>
          <w:color w:val="1F497D"/>
        </w:rPr>
        <w:t xml:space="preserve">  </w:t>
      </w:r>
      <w:hyperlink r:id="rId8" w:history="1">
        <w:r w:rsidR="006F129A" w:rsidRPr="004059A8">
          <w:rPr>
            <w:rStyle w:val="Hyperlink"/>
            <w:rFonts w:ascii="Calibri" w:hAnsi="Calibri"/>
          </w:rPr>
          <w:t>http://www2.epa.gov/cwa-404/assumable-waters-sub-committee</w:t>
        </w:r>
      </w:hyperlink>
    </w:p>
    <w:p w14:paraId="4C647420" w14:textId="77777777" w:rsidR="006F129A" w:rsidRDefault="006F129A" w:rsidP="002C5430">
      <w:pPr>
        <w:ind w:left="360"/>
      </w:pPr>
    </w:p>
    <w:p w14:paraId="16B2CD81" w14:textId="48C72268" w:rsidR="008C1C61" w:rsidRPr="008C1C61" w:rsidRDefault="008C1C61" w:rsidP="002C5430">
      <w:pPr>
        <w:ind w:firstLine="720"/>
      </w:pPr>
    </w:p>
    <w:sectPr w:rsidR="008C1C61" w:rsidRPr="008C1C61" w:rsidSect="00B374B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78418" w14:textId="77777777" w:rsidR="00524DC0" w:rsidRDefault="00524DC0" w:rsidP="002608DF">
      <w:pPr>
        <w:spacing w:before="0"/>
      </w:pPr>
      <w:r>
        <w:separator/>
      </w:r>
    </w:p>
  </w:endnote>
  <w:endnote w:type="continuationSeparator" w:id="0">
    <w:p w14:paraId="37E2EB1C" w14:textId="77777777" w:rsidR="00524DC0" w:rsidRDefault="00524DC0" w:rsidP="002608DF">
      <w:pPr>
        <w:spacing w:before="0"/>
      </w:pPr>
      <w:r>
        <w:continuationSeparator/>
      </w:r>
    </w:p>
  </w:endnote>
  <w:endnote w:type="continuationNotice" w:id="1">
    <w:p w14:paraId="32B3862A" w14:textId="77777777" w:rsidR="00524DC0" w:rsidRDefault="00524DC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FC074" w14:textId="77777777" w:rsidR="0032112E" w:rsidRDefault="00321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5FD26" w14:textId="77777777" w:rsidR="0032112E" w:rsidRDefault="003211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4A64B" w14:textId="77777777" w:rsidR="00AD7389" w:rsidRPr="0032112E" w:rsidRDefault="00AD7389" w:rsidP="00321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6C83B" w14:textId="77777777" w:rsidR="00524DC0" w:rsidRDefault="00524DC0" w:rsidP="002608DF">
      <w:pPr>
        <w:spacing w:before="0"/>
      </w:pPr>
      <w:r>
        <w:separator/>
      </w:r>
    </w:p>
  </w:footnote>
  <w:footnote w:type="continuationSeparator" w:id="0">
    <w:p w14:paraId="3D5A62B2" w14:textId="77777777" w:rsidR="00524DC0" w:rsidRDefault="00524DC0" w:rsidP="002608DF">
      <w:pPr>
        <w:spacing w:before="0"/>
      </w:pPr>
      <w:r>
        <w:continuationSeparator/>
      </w:r>
    </w:p>
  </w:footnote>
  <w:footnote w:type="continuationNotice" w:id="1">
    <w:p w14:paraId="5A9407D4" w14:textId="77777777" w:rsidR="00524DC0" w:rsidRDefault="00524DC0">
      <w:pPr>
        <w:spacing w:before="0"/>
      </w:pPr>
    </w:p>
  </w:footnote>
  <w:footnote w:id="2">
    <w:p w14:paraId="4CF88119" w14:textId="77777777" w:rsidR="00AD7389" w:rsidRPr="001D4C14" w:rsidRDefault="00AD7389" w:rsidP="00AD7389">
      <w:pPr>
        <w:autoSpaceDE w:val="0"/>
        <w:autoSpaceDN w:val="0"/>
        <w:adjustRightInd w:val="0"/>
        <w:spacing w:before="0"/>
        <w:rPr>
          <w:rFonts w:ascii="Times New Roman" w:hAnsi="Times New Roman"/>
          <w:sz w:val="24"/>
          <w:szCs w:val="24"/>
        </w:rPr>
      </w:pPr>
      <w:r>
        <w:rPr>
          <w:rStyle w:val="FootnoteReference"/>
        </w:rPr>
        <w:footnoteRef/>
      </w:r>
      <w:r>
        <w:t xml:space="preserve"> FACA states that “</w:t>
      </w:r>
      <w:r>
        <w:rPr>
          <w:rFonts w:ascii="Times New Roman" w:hAnsi="Times New Roman"/>
          <w:sz w:val="24"/>
          <w:szCs w:val="24"/>
        </w:rPr>
        <w:t>documents which were made available to or prepared for or by each advisory committee shall be available for public inspection and copying at a single location in the offices of the advisory committee or the agency to which the advisory committee reports until the advisory committee ceases to exist.” (NARA General Records Schedule 6.2)</w:t>
      </w:r>
    </w:p>
    <w:p w14:paraId="747D7D30" w14:textId="77777777" w:rsidR="00AD7389" w:rsidRDefault="00AD7389" w:rsidP="00AD7389">
      <w:pPr>
        <w:pStyle w:val="Footer"/>
      </w:pPr>
    </w:p>
    <w:p w14:paraId="24F1F149" w14:textId="68ACEC77" w:rsidR="00AD7389" w:rsidRDefault="00AD738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ABDC5" w14:textId="77777777" w:rsidR="0032112E" w:rsidRDefault="00321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436C4" w14:textId="77777777" w:rsidR="00205986" w:rsidRPr="0032112E" w:rsidRDefault="00205986" w:rsidP="00321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C1F29" w14:textId="77777777" w:rsidR="00205986" w:rsidRDefault="00205986" w:rsidP="002608D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3DD5"/>
    <w:multiLevelType w:val="hybridMultilevel"/>
    <w:tmpl w:val="F72C01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B6758"/>
    <w:multiLevelType w:val="hybridMultilevel"/>
    <w:tmpl w:val="7AE40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D2038"/>
    <w:multiLevelType w:val="hybridMultilevel"/>
    <w:tmpl w:val="6130D8FE"/>
    <w:lvl w:ilvl="0" w:tplc="0AD02EA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6991C48"/>
    <w:multiLevelType w:val="hybridMultilevel"/>
    <w:tmpl w:val="DFFA270A"/>
    <w:lvl w:ilvl="0" w:tplc="F92461C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0D13CE"/>
    <w:multiLevelType w:val="hybridMultilevel"/>
    <w:tmpl w:val="F05EDC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5B49EA"/>
    <w:multiLevelType w:val="hybridMultilevel"/>
    <w:tmpl w:val="021063E4"/>
    <w:lvl w:ilvl="0" w:tplc="99F00AF6">
      <w:start w:val="1"/>
      <w:numFmt w:val="bullet"/>
      <w:pStyle w:val="BulletList"/>
      <w:lvlText w:val=""/>
      <w:lvlJc w:val="left"/>
      <w:pPr>
        <w:ind w:left="1800" w:hanging="360"/>
      </w:pPr>
      <w:rPr>
        <w:rFonts w:ascii="Symbol" w:hAnsi="Symbol" w:hint="default"/>
      </w:rPr>
    </w:lvl>
    <w:lvl w:ilvl="1" w:tplc="2C5AD7B8">
      <w:start w:val="1"/>
      <w:numFmt w:val="bullet"/>
      <w:lvlText w:val="o"/>
      <w:lvlJc w:val="left"/>
      <w:pPr>
        <w:ind w:left="2520" w:hanging="360"/>
      </w:pPr>
      <w:rPr>
        <w:rFonts w:ascii="Courier New" w:hAnsi="Courier New" w:cs="Courier New" w:hint="default"/>
      </w:rPr>
    </w:lvl>
    <w:lvl w:ilvl="2" w:tplc="57BA0832">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D0A409F"/>
    <w:multiLevelType w:val="hybridMultilevel"/>
    <w:tmpl w:val="6980F404"/>
    <w:lvl w:ilvl="0" w:tplc="D46272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B6FBB"/>
    <w:multiLevelType w:val="hybridMultilevel"/>
    <w:tmpl w:val="3530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2531E"/>
    <w:multiLevelType w:val="hybridMultilevel"/>
    <w:tmpl w:val="CEE480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6E3C39"/>
    <w:multiLevelType w:val="hybridMultilevel"/>
    <w:tmpl w:val="43E4F97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600FF5"/>
    <w:multiLevelType w:val="hybridMultilevel"/>
    <w:tmpl w:val="3FEE0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956AB6"/>
    <w:multiLevelType w:val="hybridMultilevel"/>
    <w:tmpl w:val="9A10CCC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9937AE3"/>
    <w:multiLevelType w:val="hybridMultilevel"/>
    <w:tmpl w:val="49D0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665A8E"/>
    <w:multiLevelType w:val="hybridMultilevel"/>
    <w:tmpl w:val="800CEE06"/>
    <w:lvl w:ilvl="0" w:tplc="E5A8F2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60817"/>
    <w:multiLevelType w:val="hybridMultilevel"/>
    <w:tmpl w:val="C4BA8BA6"/>
    <w:lvl w:ilvl="0" w:tplc="E680831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F293943"/>
    <w:multiLevelType w:val="hybridMultilevel"/>
    <w:tmpl w:val="F96A2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360F58"/>
    <w:multiLevelType w:val="hybridMultilevel"/>
    <w:tmpl w:val="1A3A9FBA"/>
    <w:lvl w:ilvl="0" w:tplc="0FCC6D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8726F80"/>
    <w:multiLevelType w:val="hybridMultilevel"/>
    <w:tmpl w:val="752EF816"/>
    <w:lvl w:ilvl="0" w:tplc="08C82B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95451"/>
    <w:multiLevelType w:val="hybridMultilevel"/>
    <w:tmpl w:val="A66AB84C"/>
    <w:lvl w:ilvl="0" w:tplc="CCF446B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0081159"/>
    <w:multiLevelType w:val="hybridMultilevel"/>
    <w:tmpl w:val="7BE44BDC"/>
    <w:lvl w:ilvl="0" w:tplc="8E722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1296B"/>
    <w:multiLevelType w:val="hybridMultilevel"/>
    <w:tmpl w:val="06880B74"/>
    <w:lvl w:ilvl="0" w:tplc="B19E6E8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28196A"/>
    <w:multiLevelType w:val="hybridMultilevel"/>
    <w:tmpl w:val="951E3B7A"/>
    <w:lvl w:ilvl="0" w:tplc="8B3059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AC756CF"/>
    <w:multiLevelType w:val="hybridMultilevel"/>
    <w:tmpl w:val="281E7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2C7ADD"/>
    <w:multiLevelType w:val="hybridMultilevel"/>
    <w:tmpl w:val="491664FC"/>
    <w:lvl w:ilvl="0" w:tplc="6ECE42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2D507F"/>
    <w:multiLevelType w:val="hybridMultilevel"/>
    <w:tmpl w:val="6C686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6D4682"/>
    <w:multiLevelType w:val="hybridMultilevel"/>
    <w:tmpl w:val="A180491A"/>
    <w:lvl w:ilvl="0" w:tplc="9BBE56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BE4CD2"/>
    <w:multiLevelType w:val="hybridMultilevel"/>
    <w:tmpl w:val="464E7F0C"/>
    <w:lvl w:ilvl="0" w:tplc="85940AD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74CF053F"/>
    <w:multiLevelType w:val="hybridMultilevel"/>
    <w:tmpl w:val="8610B1EC"/>
    <w:lvl w:ilvl="0" w:tplc="48B845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2451B0"/>
    <w:multiLevelType w:val="hybridMultilevel"/>
    <w:tmpl w:val="42FC2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5"/>
  </w:num>
  <w:num w:numId="4">
    <w:abstractNumId w:val="20"/>
  </w:num>
  <w:num w:numId="5">
    <w:abstractNumId w:val="9"/>
  </w:num>
  <w:num w:numId="6">
    <w:abstractNumId w:val="20"/>
  </w:num>
  <w:num w:numId="7">
    <w:abstractNumId w:val="20"/>
    <w:lvlOverride w:ilvl="0">
      <w:startOverride w:val="1"/>
    </w:lvlOverride>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8"/>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num>
  <w:num w:numId="19">
    <w:abstractNumId w:val="24"/>
  </w:num>
  <w:num w:numId="20">
    <w:abstractNumId w:val="22"/>
  </w:num>
  <w:num w:numId="21">
    <w:abstractNumId w:val="28"/>
  </w:num>
  <w:num w:numId="22">
    <w:abstractNumId w:val="7"/>
  </w:num>
  <w:num w:numId="23">
    <w:abstractNumId w:val="15"/>
  </w:num>
  <w:num w:numId="24">
    <w:abstractNumId w:val="0"/>
  </w:num>
  <w:num w:numId="25">
    <w:abstractNumId w:val="12"/>
  </w:num>
  <w:num w:numId="26">
    <w:abstractNumId w:val="25"/>
  </w:num>
  <w:num w:numId="27">
    <w:abstractNumId w:val="3"/>
  </w:num>
  <w:num w:numId="28">
    <w:abstractNumId w:val="18"/>
  </w:num>
  <w:num w:numId="29">
    <w:abstractNumId w:val="23"/>
  </w:num>
  <w:num w:numId="30">
    <w:abstractNumId w:val="27"/>
  </w:num>
  <w:num w:numId="31">
    <w:abstractNumId w:val="6"/>
  </w:num>
  <w:num w:numId="32">
    <w:abstractNumId w:val="17"/>
  </w:num>
  <w:num w:numId="33">
    <w:abstractNumId w:val="21"/>
  </w:num>
  <w:num w:numId="34">
    <w:abstractNumId w:val="14"/>
  </w:num>
  <w:num w:numId="35">
    <w:abstractNumId w:val="2"/>
  </w:num>
  <w:num w:numId="36">
    <w:abstractNumId w:val="16"/>
  </w:num>
  <w:num w:numId="37">
    <w:abstractNumId w:val="13"/>
  </w:num>
  <w:num w:numId="38">
    <w:abstractNumId w:val="10"/>
  </w:num>
  <w:num w:numId="39">
    <w:abstractNumId w:val="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3D"/>
    <w:rsid w:val="00021615"/>
    <w:rsid w:val="00027720"/>
    <w:rsid w:val="00027CA1"/>
    <w:rsid w:val="0003279A"/>
    <w:rsid w:val="00085387"/>
    <w:rsid w:val="00087DCF"/>
    <w:rsid w:val="00096833"/>
    <w:rsid w:val="0009722C"/>
    <w:rsid w:val="000A4F01"/>
    <w:rsid w:val="000B61A5"/>
    <w:rsid w:val="001215F1"/>
    <w:rsid w:val="00192B63"/>
    <w:rsid w:val="001C5FA2"/>
    <w:rsid w:val="001D0A39"/>
    <w:rsid w:val="001F63F7"/>
    <w:rsid w:val="00205986"/>
    <w:rsid w:val="00234BCB"/>
    <w:rsid w:val="002608DF"/>
    <w:rsid w:val="00260F3A"/>
    <w:rsid w:val="00277FED"/>
    <w:rsid w:val="00290398"/>
    <w:rsid w:val="002B6C07"/>
    <w:rsid w:val="002C5430"/>
    <w:rsid w:val="002D5166"/>
    <w:rsid w:val="0031137D"/>
    <w:rsid w:val="0032112E"/>
    <w:rsid w:val="00334A2C"/>
    <w:rsid w:val="00370868"/>
    <w:rsid w:val="00374E71"/>
    <w:rsid w:val="00380139"/>
    <w:rsid w:val="003910C7"/>
    <w:rsid w:val="003B53F9"/>
    <w:rsid w:val="003E0165"/>
    <w:rsid w:val="003F393D"/>
    <w:rsid w:val="0042446E"/>
    <w:rsid w:val="00472A7C"/>
    <w:rsid w:val="004B3BF7"/>
    <w:rsid w:val="004B46FA"/>
    <w:rsid w:val="004D5832"/>
    <w:rsid w:val="004D7CC4"/>
    <w:rsid w:val="004E25B6"/>
    <w:rsid w:val="00524DC0"/>
    <w:rsid w:val="0052599C"/>
    <w:rsid w:val="0053720C"/>
    <w:rsid w:val="005403EE"/>
    <w:rsid w:val="00541BBC"/>
    <w:rsid w:val="005433C6"/>
    <w:rsid w:val="005449DE"/>
    <w:rsid w:val="00556E76"/>
    <w:rsid w:val="0056733D"/>
    <w:rsid w:val="00573D2A"/>
    <w:rsid w:val="005A142B"/>
    <w:rsid w:val="005A51D0"/>
    <w:rsid w:val="005B2991"/>
    <w:rsid w:val="005B2B87"/>
    <w:rsid w:val="005C5DCB"/>
    <w:rsid w:val="006D4D84"/>
    <w:rsid w:val="006F129A"/>
    <w:rsid w:val="006F488A"/>
    <w:rsid w:val="00702EF6"/>
    <w:rsid w:val="00710114"/>
    <w:rsid w:val="007159D5"/>
    <w:rsid w:val="0074423B"/>
    <w:rsid w:val="0076018B"/>
    <w:rsid w:val="007B78D0"/>
    <w:rsid w:val="007C130B"/>
    <w:rsid w:val="007D614E"/>
    <w:rsid w:val="007E22AF"/>
    <w:rsid w:val="007E548B"/>
    <w:rsid w:val="008151D2"/>
    <w:rsid w:val="008661DC"/>
    <w:rsid w:val="008A4B72"/>
    <w:rsid w:val="008C1C61"/>
    <w:rsid w:val="008D7B99"/>
    <w:rsid w:val="008F76F5"/>
    <w:rsid w:val="00904743"/>
    <w:rsid w:val="0092780E"/>
    <w:rsid w:val="00937DEF"/>
    <w:rsid w:val="0098153C"/>
    <w:rsid w:val="00986B7E"/>
    <w:rsid w:val="00986DEC"/>
    <w:rsid w:val="00997142"/>
    <w:rsid w:val="009B55ED"/>
    <w:rsid w:val="009D5A60"/>
    <w:rsid w:val="009F023A"/>
    <w:rsid w:val="009F39CE"/>
    <w:rsid w:val="00A00687"/>
    <w:rsid w:val="00A07F9C"/>
    <w:rsid w:val="00A17D20"/>
    <w:rsid w:val="00A246A7"/>
    <w:rsid w:val="00AB57F6"/>
    <w:rsid w:val="00AC1CA5"/>
    <w:rsid w:val="00AD405B"/>
    <w:rsid w:val="00AD7389"/>
    <w:rsid w:val="00AE4229"/>
    <w:rsid w:val="00AE6779"/>
    <w:rsid w:val="00AF78BB"/>
    <w:rsid w:val="00B374B0"/>
    <w:rsid w:val="00B72098"/>
    <w:rsid w:val="00B73C43"/>
    <w:rsid w:val="00B74648"/>
    <w:rsid w:val="00BC4DC7"/>
    <w:rsid w:val="00BC7121"/>
    <w:rsid w:val="00BE4723"/>
    <w:rsid w:val="00C14297"/>
    <w:rsid w:val="00C27099"/>
    <w:rsid w:val="00C30F14"/>
    <w:rsid w:val="00C4468C"/>
    <w:rsid w:val="00C93D4F"/>
    <w:rsid w:val="00CD68B6"/>
    <w:rsid w:val="00D60264"/>
    <w:rsid w:val="00DE7531"/>
    <w:rsid w:val="00DF1C87"/>
    <w:rsid w:val="00E1141C"/>
    <w:rsid w:val="00E12C58"/>
    <w:rsid w:val="00E307CC"/>
    <w:rsid w:val="00E61E5A"/>
    <w:rsid w:val="00E91A29"/>
    <w:rsid w:val="00E9353F"/>
    <w:rsid w:val="00E940A6"/>
    <w:rsid w:val="00EC4F46"/>
    <w:rsid w:val="00EC7D94"/>
    <w:rsid w:val="00EE1CA1"/>
    <w:rsid w:val="00EE6D74"/>
    <w:rsid w:val="00EF12E6"/>
    <w:rsid w:val="00F27022"/>
    <w:rsid w:val="00F53405"/>
    <w:rsid w:val="00F67DAC"/>
    <w:rsid w:val="00F94109"/>
    <w:rsid w:val="00FB0A68"/>
    <w:rsid w:val="00FB21B5"/>
    <w:rsid w:val="00FB6997"/>
    <w:rsid w:val="00FE2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75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imes New Roman" w:hAnsi="Palatino Linotype" w:cs="Times New Roman"/>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2" w:qFormat="1"/>
    <w:lsdException w:name="heading 1" w:uiPriority="2"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710114"/>
    <w:pPr>
      <w:spacing w:before="240"/>
    </w:pPr>
  </w:style>
  <w:style w:type="paragraph" w:styleId="Heading1">
    <w:name w:val="heading 1"/>
    <w:basedOn w:val="Normal"/>
    <w:next w:val="Normal"/>
    <w:link w:val="Heading1Char"/>
    <w:autoRedefine/>
    <w:uiPriority w:val="2"/>
    <w:qFormat/>
    <w:rsid w:val="00710114"/>
    <w:pPr>
      <w:keepNext/>
      <w:pBdr>
        <w:top w:val="single" w:sz="4" w:space="16" w:color="auto"/>
      </w:pBdr>
      <w:tabs>
        <w:tab w:val="num" w:pos="2160"/>
      </w:tabs>
      <w:spacing w:before="360" w:after="240"/>
      <w:outlineLvl w:val="0"/>
    </w:pPr>
    <w:rPr>
      <w:rFonts w:ascii="Arial" w:eastAsiaTheme="majorEastAsia" w:hAnsi="Arial" w:cs="Arial"/>
      <w:b/>
      <w:bCs/>
      <w:color w:val="2C84AD"/>
      <w:sz w:val="24"/>
      <w:szCs w:val="26"/>
    </w:rPr>
  </w:style>
  <w:style w:type="paragraph" w:styleId="Heading2">
    <w:name w:val="heading 2"/>
    <w:basedOn w:val="Normal"/>
    <w:next w:val="NormalTextHeading2"/>
    <w:link w:val="Heading2Char"/>
    <w:autoRedefine/>
    <w:uiPriority w:val="2"/>
    <w:qFormat/>
    <w:rsid w:val="00710114"/>
    <w:pPr>
      <w:keepNext/>
      <w:keepLines/>
      <w:outlineLvl w:val="1"/>
    </w:pPr>
    <w:rPr>
      <w:rFonts w:ascii="Arial" w:eastAsiaTheme="majorEastAsia" w:hAnsi="Arial" w:cstheme="majorBidi"/>
      <w:b/>
      <w:bCs/>
      <w:color w:val="2C84A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uiPriority w:val="2"/>
    <w:qFormat/>
    <w:rsid w:val="00710114"/>
    <w:pPr>
      <w:numPr>
        <w:numId w:val="3"/>
      </w:numPr>
      <w:spacing w:before="60"/>
    </w:pPr>
    <w:rPr>
      <w:color w:val="000000"/>
    </w:rPr>
  </w:style>
  <w:style w:type="paragraph" w:customStyle="1" w:styleId="NormalBold">
    <w:name w:val="Normal Bold"/>
    <w:basedOn w:val="Normal"/>
    <w:uiPriority w:val="2"/>
    <w:qFormat/>
    <w:rsid w:val="00710114"/>
    <w:pPr>
      <w:tabs>
        <w:tab w:val="left" w:pos="2160"/>
      </w:tabs>
    </w:pPr>
    <w:rPr>
      <w:rFonts w:cs="Arial"/>
      <w:b/>
      <w:bCs/>
      <w:szCs w:val="24"/>
    </w:rPr>
  </w:style>
  <w:style w:type="paragraph" w:customStyle="1" w:styleId="NumberList">
    <w:name w:val="Number List"/>
    <w:basedOn w:val="Normal"/>
    <w:next w:val="Normal"/>
    <w:autoRedefine/>
    <w:qFormat/>
    <w:rsid w:val="00CD68B6"/>
    <w:pPr>
      <w:ind w:left="450"/>
    </w:pPr>
  </w:style>
  <w:style w:type="paragraph" w:customStyle="1" w:styleId="TableNormal1">
    <w:name w:val="Table Normal1"/>
    <w:basedOn w:val="Normal"/>
    <w:qFormat/>
    <w:rsid w:val="00710114"/>
    <w:pPr>
      <w:spacing w:before="40" w:after="40"/>
    </w:pPr>
  </w:style>
  <w:style w:type="paragraph" w:customStyle="1" w:styleId="TableNormal1Bold">
    <w:name w:val="Table Normal1 Bold"/>
    <w:basedOn w:val="TableNormal1"/>
    <w:qFormat/>
    <w:rsid w:val="00710114"/>
    <w:rPr>
      <w:b/>
      <w:bCs/>
    </w:rPr>
  </w:style>
  <w:style w:type="paragraph" w:customStyle="1" w:styleId="TableNormal1Italic">
    <w:name w:val="Table Normal1 Italic"/>
    <w:basedOn w:val="Normal"/>
    <w:qFormat/>
    <w:rsid w:val="00710114"/>
    <w:pPr>
      <w:spacing w:before="40" w:after="40"/>
    </w:pPr>
    <w:rPr>
      <w:i/>
    </w:rPr>
  </w:style>
  <w:style w:type="paragraph" w:customStyle="1" w:styleId="NormalBoldItalic">
    <w:name w:val="Normal Bold Italic"/>
    <w:basedOn w:val="Normal"/>
    <w:next w:val="Normal"/>
    <w:uiPriority w:val="2"/>
    <w:qFormat/>
    <w:rsid w:val="00710114"/>
    <w:rPr>
      <w:b/>
      <w:i/>
    </w:rPr>
  </w:style>
  <w:style w:type="paragraph" w:customStyle="1" w:styleId="NormalTextHeading2">
    <w:name w:val="Normal Text Heading 2"/>
    <w:basedOn w:val="Normal"/>
    <w:autoRedefine/>
    <w:uiPriority w:val="1"/>
    <w:qFormat/>
    <w:rsid w:val="00710114"/>
    <w:pPr>
      <w:spacing w:before="0"/>
    </w:pPr>
  </w:style>
  <w:style w:type="paragraph" w:customStyle="1" w:styleId="Heading1NoLine">
    <w:name w:val="Heading 1 No Line"/>
    <w:basedOn w:val="Heading1"/>
    <w:autoRedefine/>
    <w:uiPriority w:val="2"/>
    <w:qFormat/>
    <w:rsid w:val="00710114"/>
    <w:pPr>
      <w:pBdr>
        <w:top w:val="none" w:sz="0" w:space="0" w:color="auto"/>
      </w:pBdr>
    </w:pPr>
    <w:rPr>
      <w:rFonts w:eastAsia="Times New Roman"/>
    </w:rPr>
  </w:style>
  <w:style w:type="character" w:customStyle="1" w:styleId="Heading1Char">
    <w:name w:val="Heading 1 Char"/>
    <w:basedOn w:val="DefaultParagraphFont"/>
    <w:link w:val="Heading1"/>
    <w:uiPriority w:val="2"/>
    <w:rsid w:val="00710114"/>
    <w:rPr>
      <w:rFonts w:ascii="Arial" w:eastAsiaTheme="majorEastAsia" w:hAnsi="Arial" w:cs="Arial"/>
      <w:b/>
      <w:bCs/>
      <w:color w:val="2C84AD"/>
      <w:sz w:val="24"/>
      <w:szCs w:val="26"/>
    </w:rPr>
  </w:style>
  <w:style w:type="paragraph" w:customStyle="1" w:styleId="NormalNoSpace">
    <w:name w:val="Normal No Space"/>
    <w:basedOn w:val="Normal"/>
    <w:autoRedefine/>
    <w:uiPriority w:val="2"/>
    <w:qFormat/>
    <w:rsid w:val="00710114"/>
    <w:pPr>
      <w:spacing w:before="0"/>
    </w:pPr>
  </w:style>
  <w:style w:type="paragraph" w:customStyle="1" w:styleId="Subtitle1">
    <w:name w:val="Subtitle 1"/>
    <w:basedOn w:val="TableNormal1Bold"/>
    <w:qFormat/>
    <w:rsid w:val="00710114"/>
    <w:pPr>
      <w:spacing w:before="120"/>
    </w:pPr>
    <w:rPr>
      <w:b w:val="0"/>
      <w:i/>
      <w:sz w:val="24"/>
    </w:rPr>
  </w:style>
  <w:style w:type="paragraph" w:customStyle="1" w:styleId="Heading1WithBox">
    <w:name w:val="Heading 1 With Box"/>
    <w:basedOn w:val="Heading1NoLine"/>
    <w:uiPriority w:val="2"/>
    <w:qFormat/>
    <w:rsid w:val="00710114"/>
    <w:pPr>
      <w:pBdr>
        <w:top w:val="single" w:sz="4" w:space="2" w:color="auto"/>
        <w:left w:val="single" w:sz="4" w:space="4" w:color="auto"/>
        <w:bottom w:val="single" w:sz="4" w:space="2" w:color="auto"/>
        <w:right w:val="single" w:sz="4" w:space="1" w:color="auto"/>
      </w:pBdr>
      <w:ind w:right="4"/>
    </w:pPr>
    <w:rPr>
      <w:rFonts w:cs="Times New Roman"/>
      <w:szCs w:val="20"/>
    </w:rPr>
  </w:style>
  <w:style w:type="character" w:customStyle="1" w:styleId="Heading2Char">
    <w:name w:val="Heading 2 Char"/>
    <w:basedOn w:val="DefaultParagraphFont"/>
    <w:link w:val="Heading2"/>
    <w:uiPriority w:val="2"/>
    <w:rsid w:val="00710114"/>
    <w:rPr>
      <w:rFonts w:ascii="Arial" w:eastAsiaTheme="majorEastAsia" w:hAnsi="Arial" w:cstheme="majorBidi"/>
      <w:b/>
      <w:bCs/>
      <w:color w:val="2C84AD"/>
      <w:sz w:val="24"/>
      <w:szCs w:val="26"/>
    </w:rPr>
  </w:style>
  <w:style w:type="paragraph" w:styleId="Header">
    <w:name w:val="header"/>
    <w:basedOn w:val="Normal"/>
    <w:link w:val="HeaderChar"/>
    <w:uiPriority w:val="99"/>
    <w:unhideWhenUsed/>
    <w:qFormat/>
    <w:rsid w:val="00710114"/>
    <w:pPr>
      <w:pBdr>
        <w:bottom w:val="single" w:sz="4" w:space="1" w:color="284C7D"/>
      </w:pBdr>
      <w:tabs>
        <w:tab w:val="center" w:pos="4680"/>
        <w:tab w:val="right" w:pos="9360"/>
      </w:tabs>
      <w:spacing w:before="0"/>
    </w:pPr>
    <w:rPr>
      <w:rFonts w:eastAsiaTheme="minorEastAsia" w:cstheme="minorBidi"/>
      <w:color w:val="284C7D"/>
      <w:sz w:val="18"/>
    </w:rPr>
  </w:style>
  <w:style w:type="character" w:customStyle="1" w:styleId="HeaderChar">
    <w:name w:val="Header Char"/>
    <w:basedOn w:val="DefaultParagraphFont"/>
    <w:link w:val="Header"/>
    <w:uiPriority w:val="99"/>
    <w:rsid w:val="00710114"/>
    <w:rPr>
      <w:rFonts w:eastAsiaTheme="minorEastAsia" w:cstheme="minorBidi"/>
      <w:color w:val="284C7D"/>
      <w:sz w:val="18"/>
    </w:rPr>
  </w:style>
  <w:style w:type="paragraph" w:styleId="Title">
    <w:name w:val="Title"/>
    <w:basedOn w:val="Normal"/>
    <w:next w:val="Normal"/>
    <w:link w:val="TitleChar"/>
    <w:qFormat/>
    <w:rsid w:val="00710114"/>
    <w:pPr>
      <w:tabs>
        <w:tab w:val="left" w:pos="180"/>
      </w:tabs>
      <w:spacing w:before="0"/>
    </w:pPr>
    <w:rPr>
      <w:rFonts w:cs="Arial"/>
      <w:sz w:val="40"/>
    </w:rPr>
  </w:style>
  <w:style w:type="character" w:customStyle="1" w:styleId="TitleChar">
    <w:name w:val="Title Char"/>
    <w:basedOn w:val="DefaultParagraphFont"/>
    <w:link w:val="Title"/>
    <w:rsid w:val="00710114"/>
    <w:rPr>
      <w:rFonts w:cs="Arial"/>
      <w:sz w:val="40"/>
    </w:rPr>
  </w:style>
  <w:style w:type="paragraph" w:customStyle="1" w:styleId="Default">
    <w:name w:val="Default"/>
    <w:rsid w:val="002D5166"/>
    <w:pPr>
      <w:autoSpaceDE w:val="0"/>
      <w:autoSpaceDN w:val="0"/>
      <w:adjustRightInd w:val="0"/>
      <w:spacing w:before="0"/>
    </w:pPr>
    <w:rPr>
      <w:rFonts w:ascii="Times New Roman" w:hAnsi="Times New Roman"/>
      <w:color w:val="000000"/>
      <w:sz w:val="24"/>
      <w:szCs w:val="24"/>
    </w:rPr>
  </w:style>
  <w:style w:type="paragraph" w:styleId="ListParagraph">
    <w:name w:val="List Paragraph"/>
    <w:basedOn w:val="Normal"/>
    <w:uiPriority w:val="34"/>
    <w:qFormat/>
    <w:rsid w:val="0042446E"/>
    <w:pPr>
      <w:ind w:left="720"/>
      <w:contextualSpacing/>
    </w:pPr>
  </w:style>
  <w:style w:type="character" w:styleId="CommentReference">
    <w:name w:val="annotation reference"/>
    <w:basedOn w:val="DefaultParagraphFont"/>
    <w:uiPriority w:val="99"/>
    <w:semiHidden/>
    <w:unhideWhenUsed/>
    <w:rsid w:val="001215F1"/>
    <w:rPr>
      <w:sz w:val="16"/>
      <w:szCs w:val="16"/>
    </w:rPr>
  </w:style>
  <w:style w:type="paragraph" w:styleId="CommentText">
    <w:name w:val="annotation text"/>
    <w:basedOn w:val="Normal"/>
    <w:link w:val="CommentTextChar"/>
    <w:uiPriority w:val="99"/>
    <w:unhideWhenUsed/>
    <w:rsid w:val="001215F1"/>
    <w:rPr>
      <w:sz w:val="20"/>
      <w:szCs w:val="20"/>
    </w:rPr>
  </w:style>
  <w:style w:type="character" w:customStyle="1" w:styleId="CommentTextChar">
    <w:name w:val="Comment Text Char"/>
    <w:basedOn w:val="DefaultParagraphFont"/>
    <w:link w:val="CommentText"/>
    <w:uiPriority w:val="99"/>
    <w:rsid w:val="001215F1"/>
    <w:rPr>
      <w:sz w:val="20"/>
      <w:szCs w:val="20"/>
    </w:rPr>
  </w:style>
  <w:style w:type="paragraph" w:styleId="CommentSubject">
    <w:name w:val="annotation subject"/>
    <w:basedOn w:val="CommentText"/>
    <w:next w:val="CommentText"/>
    <w:link w:val="CommentSubjectChar"/>
    <w:uiPriority w:val="99"/>
    <w:semiHidden/>
    <w:unhideWhenUsed/>
    <w:rsid w:val="001215F1"/>
    <w:rPr>
      <w:b/>
      <w:bCs/>
    </w:rPr>
  </w:style>
  <w:style w:type="character" w:customStyle="1" w:styleId="CommentSubjectChar">
    <w:name w:val="Comment Subject Char"/>
    <w:basedOn w:val="CommentTextChar"/>
    <w:link w:val="CommentSubject"/>
    <w:uiPriority w:val="99"/>
    <w:semiHidden/>
    <w:rsid w:val="001215F1"/>
    <w:rPr>
      <w:b/>
      <w:bCs/>
      <w:sz w:val="20"/>
      <w:szCs w:val="20"/>
    </w:rPr>
  </w:style>
  <w:style w:type="paragraph" w:styleId="BalloonText">
    <w:name w:val="Balloon Text"/>
    <w:basedOn w:val="Normal"/>
    <w:link w:val="BalloonTextChar"/>
    <w:uiPriority w:val="99"/>
    <w:semiHidden/>
    <w:unhideWhenUsed/>
    <w:rsid w:val="001215F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5F1"/>
    <w:rPr>
      <w:rFonts w:ascii="Tahoma" w:hAnsi="Tahoma" w:cs="Tahoma"/>
      <w:sz w:val="16"/>
      <w:szCs w:val="16"/>
    </w:rPr>
  </w:style>
  <w:style w:type="paragraph" w:styleId="Footer">
    <w:name w:val="footer"/>
    <w:basedOn w:val="Normal"/>
    <w:link w:val="FooterChar"/>
    <w:uiPriority w:val="99"/>
    <w:unhideWhenUsed/>
    <w:rsid w:val="002608DF"/>
    <w:pPr>
      <w:tabs>
        <w:tab w:val="center" w:pos="4680"/>
        <w:tab w:val="right" w:pos="9360"/>
      </w:tabs>
      <w:spacing w:before="0"/>
    </w:pPr>
  </w:style>
  <w:style w:type="character" w:customStyle="1" w:styleId="FooterChar">
    <w:name w:val="Footer Char"/>
    <w:basedOn w:val="DefaultParagraphFont"/>
    <w:link w:val="Footer"/>
    <w:uiPriority w:val="99"/>
    <w:rsid w:val="002608DF"/>
  </w:style>
  <w:style w:type="paragraph" w:styleId="Revision">
    <w:name w:val="Revision"/>
    <w:hidden/>
    <w:uiPriority w:val="99"/>
    <w:semiHidden/>
    <w:rsid w:val="003910C7"/>
    <w:pPr>
      <w:spacing w:before="0"/>
    </w:pPr>
  </w:style>
  <w:style w:type="paragraph" w:styleId="FootnoteText">
    <w:name w:val="footnote text"/>
    <w:basedOn w:val="Normal"/>
    <w:link w:val="FootnoteTextChar"/>
    <w:uiPriority w:val="99"/>
    <w:semiHidden/>
    <w:unhideWhenUsed/>
    <w:rsid w:val="00541BBC"/>
    <w:pPr>
      <w:spacing w:before="0"/>
    </w:pPr>
    <w:rPr>
      <w:sz w:val="20"/>
      <w:szCs w:val="20"/>
    </w:rPr>
  </w:style>
  <w:style w:type="character" w:customStyle="1" w:styleId="FootnoteTextChar">
    <w:name w:val="Footnote Text Char"/>
    <w:basedOn w:val="DefaultParagraphFont"/>
    <w:link w:val="FootnoteText"/>
    <w:uiPriority w:val="99"/>
    <w:semiHidden/>
    <w:rsid w:val="00541BBC"/>
    <w:rPr>
      <w:sz w:val="20"/>
      <w:szCs w:val="20"/>
    </w:rPr>
  </w:style>
  <w:style w:type="character" w:styleId="FootnoteReference">
    <w:name w:val="footnote reference"/>
    <w:basedOn w:val="DefaultParagraphFont"/>
    <w:uiPriority w:val="99"/>
    <w:semiHidden/>
    <w:unhideWhenUsed/>
    <w:rsid w:val="00541BBC"/>
    <w:rPr>
      <w:vertAlign w:val="superscript"/>
    </w:rPr>
  </w:style>
  <w:style w:type="character" w:styleId="Hyperlink">
    <w:name w:val="Hyperlink"/>
    <w:basedOn w:val="DefaultParagraphFont"/>
    <w:uiPriority w:val="99"/>
    <w:unhideWhenUsed/>
    <w:rsid w:val="00986DEC"/>
    <w:rPr>
      <w:color w:val="0000FF"/>
      <w:u w:val="single"/>
    </w:rPr>
  </w:style>
  <w:style w:type="paragraph" w:customStyle="1" w:styleId="xmsonormal">
    <w:name w:val="x_msonormal"/>
    <w:basedOn w:val="Normal"/>
    <w:rsid w:val="00986DEC"/>
    <w:pPr>
      <w:spacing w:before="100" w:beforeAutospacing="1" w:after="100" w:afterAutospacing="1"/>
    </w:pPr>
    <w:rPr>
      <w:rFonts w:ascii="Times New Roman" w:hAnsi="Times New Roman"/>
      <w:sz w:val="24"/>
      <w:szCs w:val="24"/>
    </w:rPr>
  </w:style>
  <w:style w:type="character" w:customStyle="1" w:styleId="rpcq11">
    <w:name w:val="_rpc_q11"/>
    <w:basedOn w:val="DefaultParagraphFont"/>
    <w:rsid w:val="00986DEC"/>
    <w:rPr>
      <w:sz w:val="26"/>
      <w:szCs w:val="26"/>
    </w:rPr>
  </w:style>
  <w:style w:type="paragraph" w:styleId="NormalWeb">
    <w:name w:val="Normal (Web)"/>
    <w:basedOn w:val="Normal"/>
    <w:uiPriority w:val="99"/>
    <w:semiHidden/>
    <w:unhideWhenUsed/>
    <w:rsid w:val="00986DEC"/>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EC7D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pa.gov/cwa-404/assumable-waters-sub-committe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2.epa.gov/cwa-404/assumable-waters-sub-committe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2015-10-15T15:32:00Z</dcterms:created>
  <dcterms:modified xsi:type="dcterms:W3CDTF">2015-10-19T19:15:00Z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