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6" w:rsidRDefault="00217D20" w:rsidP="00217D20">
      <w:pPr>
        <w:pStyle w:val="Title"/>
        <w:ind w:left="2880" w:firstLine="720"/>
        <w:jc w:val="left"/>
      </w:pPr>
      <w:bookmarkStart w:id="0" w:name="_GoBack"/>
      <w:bookmarkEnd w:id="0"/>
      <w:r>
        <w:t xml:space="preserve"> </w:t>
      </w:r>
      <w:r>
        <w:tab/>
      </w:r>
      <w:r w:rsidR="00C66FB6">
        <w:t>GHG Inventory Management Plan Checklist</w:t>
      </w:r>
    </w:p>
    <w:p w:rsidR="00C66FB6" w:rsidRPr="00DF0AE2" w:rsidRDefault="00C66FB6">
      <w:pPr>
        <w:rPr>
          <w:sz w:val="12"/>
          <w:szCs w:val="12"/>
        </w:rPr>
      </w:pPr>
    </w:p>
    <w:p w:rsidR="00217D20" w:rsidRDefault="00DF0AE2" w:rsidP="00217D20">
      <w:r w:rsidRPr="00DF0AE2">
        <w:t xml:space="preserve">The Inventory Management Plan (IMP) is an internal process for </w:t>
      </w:r>
      <w:r w:rsidR="00A2519E">
        <w:t>a</w:t>
      </w:r>
      <w:r w:rsidRPr="00DF0AE2">
        <w:t xml:space="preserve"> </w:t>
      </w:r>
      <w:r w:rsidR="00A2519E">
        <w:t xml:space="preserve">company </w:t>
      </w:r>
      <w:r w:rsidR="00217D20">
        <w:t xml:space="preserve">to institutionalize the </w:t>
      </w:r>
      <w:r w:rsidRPr="00DF0AE2">
        <w:t>completion of a high</w:t>
      </w:r>
      <w:r w:rsidR="00422CC9">
        <w:t>-</w:t>
      </w:r>
      <w:r w:rsidRPr="00DF0AE2">
        <w:t>quality inventory. The IMP checklist outlines what components should be included in an IMP and can be used as a guide for creating an I</w:t>
      </w:r>
      <w:r w:rsidR="00217D20">
        <w:t xml:space="preserve">MP or pulling together existing </w:t>
      </w:r>
      <w:r w:rsidRPr="00DF0AE2">
        <w:t xml:space="preserve">documents.  The checklist does not represent, and should not be used as a substitute for an IMP.  </w:t>
      </w:r>
    </w:p>
    <w:p w:rsidR="00217D20" w:rsidRDefault="00217D20" w:rsidP="00217D20"/>
    <w:p w:rsidR="004C020E" w:rsidRDefault="00217D20" w:rsidP="00217D20">
      <w:r>
        <w:t xml:space="preserve">This form was </w:t>
      </w:r>
      <w:r w:rsidR="00422CC9">
        <w:t>developed under EPA’s Climate Leaders program, an industry-governme</w:t>
      </w:r>
      <w:r>
        <w:t xml:space="preserve">nt partnership that worked with </w:t>
      </w:r>
      <w:r w:rsidR="00422CC9">
        <w:t xml:space="preserve">companies to develop comprehensive climate-change strategies. Climate Leaders completed its phase down </w:t>
      </w:r>
      <w:r>
        <w:t>on</w:t>
      </w:r>
      <w:r w:rsidR="00422CC9">
        <w:t xml:space="preserve"> September </w:t>
      </w:r>
      <w:r>
        <w:t xml:space="preserve">30, </w:t>
      </w:r>
      <w:r w:rsidR="00422CC9">
        <w:t>2011.</w:t>
      </w:r>
    </w:p>
    <w:p w:rsidR="00C66FB6" w:rsidRPr="00DF0AE2" w:rsidRDefault="00C66FB6">
      <w:pPr>
        <w:tabs>
          <w:tab w:val="left" w:pos="467"/>
          <w:tab w:val="left" w:pos="3168"/>
          <w:tab w:val="left" w:pos="7308"/>
          <w:tab w:val="left" w:pos="9828"/>
        </w:tabs>
        <w:rPr>
          <w:rFonts w:ascii="Arial" w:hAnsi="Arial"/>
          <w:snapToGrid w:val="0"/>
          <w:sz w:val="12"/>
          <w:szCs w:val="1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0"/>
        <w:gridCol w:w="4770"/>
        <w:gridCol w:w="6660"/>
      </w:tblGrid>
      <w:tr w:rsidR="00C66FB6">
        <w:trPr>
          <w:cantSplit/>
          <w:tblHeader/>
        </w:trPr>
        <w:tc>
          <w:tcPr>
            <w:tcW w:w="468" w:type="dxa"/>
            <w:tcBorders>
              <w:bottom w:val="nil"/>
            </w:tcBorders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IMP Component</w:t>
            </w:r>
          </w:p>
        </w:tc>
        <w:tc>
          <w:tcPr>
            <w:tcW w:w="4770" w:type="dxa"/>
            <w:tcBorders>
              <w:bottom w:val="nil"/>
            </w:tcBorders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Detail Required</w:t>
            </w:r>
          </w:p>
        </w:tc>
        <w:tc>
          <w:tcPr>
            <w:tcW w:w="6660" w:type="dxa"/>
            <w:tcBorders>
              <w:bottom w:val="nil"/>
            </w:tcBorders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sz w:val="18"/>
              </w:rPr>
            </w:pPr>
            <w:r>
              <w:rPr>
                <w:rFonts w:ascii="Arial" w:hAnsi="Arial"/>
                <w:b/>
                <w:snapToGrid w:val="0"/>
                <w:sz w:val="18"/>
              </w:rPr>
              <w:t>Issues to Consider</w:t>
            </w:r>
          </w:p>
        </w:tc>
      </w:tr>
      <w:tr w:rsidR="00C66FB6">
        <w:trPr>
          <w:cantSplit/>
        </w:trPr>
        <w:tc>
          <w:tcPr>
            <w:tcW w:w="468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:rsidR="00C66FB6" w:rsidRDefault="00A2519E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Company</w:t>
            </w:r>
            <w:r w:rsidR="00C66FB6">
              <w:rPr>
                <w:rFonts w:ascii="Arial" w:hAnsi="Arial"/>
                <w:b/>
                <w:snapToGrid w:val="0"/>
                <w:color w:val="FFFFFF"/>
                <w:sz w:val="18"/>
              </w:rPr>
              <w:t xml:space="preserve"> Information</w:t>
            </w:r>
          </w:p>
        </w:tc>
        <w:tc>
          <w:tcPr>
            <w:tcW w:w="477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Company Name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Legal name of entity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Corporate Address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Physical and mailing address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Inventory Contact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Contact name and title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Inventory Contact Information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Contact information (telephone/fax/email)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Boundary Conditions</w:t>
            </w:r>
          </w:p>
        </w:tc>
        <w:tc>
          <w:tcPr>
            <w:tcW w:w="477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Organizational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5.</w:t>
            </w:r>
          </w:p>
        </w:tc>
        <w:tc>
          <w:tcPr>
            <w:tcW w:w="2610" w:type="dxa"/>
          </w:tcPr>
          <w:p w:rsidR="00C66FB6" w:rsidRDefault="004C020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4C020E">
              <w:rPr>
                <w:rFonts w:ascii="Arial" w:hAnsi="Arial"/>
                <w:snapToGrid w:val="0"/>
                <w:color w:val="000000"/>
                <w:sz w:val="16"/>
              </w:rPr>
              <w:t>Organizational Boundary Approach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 basis for reporting emissions data from partially owned or controlled assets: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numPr>
                <w:ilvl w:val="0"/>
                <w:numId w:val="18"/>
              </w:num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Equity Approach</w:t>
            </w:r>
          </w:p>
          <w:p w:rsidR="00C66FB6" w:rsidRDefault="00C66FB6">
            <w:pPr>
              <w:numPr>
                <w:ilvl w:val="0"/>
                <w:numId w:val="18"/>
              </w:num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Control Approach:</w:t>
            </w:r>
          </w:p>
          <w:p w:rsidR="00C66FB6" w:rsidRDefault="00C66FB6">
            <w:pPr>
              <w:numPr>
                <w:ilvl w:val="0"/>
                <w:numId w:val="19"/>
              </w:numPr>
              <w:tabs>
                <w:tab w:val="left" w:pos="463"/>
              </w:tabs>
              <w:ind w:left="792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Financial control criterion</w:t>
            </w:r>
          </w:p>
          <w:p w:rsidR="00C66FB6" w:rsidRDefault="00C66FB6">
            <w:pPr>
              <w:numPr>
                <w:ilvl w:val="0"/>
                <w:numId w:val="19"/>
              </w:numPr>
              <w:tabs>
                <w:tab w:val="left" w:pos="463"/>
              </w:tabs>
              <w:ind w:left="792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Operational control criterion</w:t>
            </w:r>
          </w:p>
        </w:tc>
        <w:tc>
          <w:tcPr>
            <w:tcW w:w="6660" w:type="dxa"/>
          </w:tcPr>
          <w:p w:rsidR="00C66FB6" w:rsidRDefault="007A44B2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ow is operational control defined?  How is equity defined (e.g., based on financial ownership or value derived from company)?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leases adequately addressed?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Facilities List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all facilities with location, % ownership, or % control.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Define if inventory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napToGrid w:val="0"/>
                    <w:color w:val="000000"/>
                    <w:sz w:val="16"/>
                  </w:rPr>
                  <w:t>U.S.</w:t>
                </w:r>
              </w:smartTag>
            </w:smartTag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only or includes optional non-U.S. operations.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07250" w:rsidRDefault="00C07250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Define the process for identifying facilities.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list complete and does it include all facilities (including leases if applicable)?  Are fleet vehicles also included if not assigned to a facility?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 w:rsidP="00C07250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How does the list compare to other public sources listing company holdings?  Is there a method for </w:t>
            </w:r>
            <w:r w:rsidR="00C07250" w:rsidRPr="00C07250">
              <w:rPr>
                <w:rFonts w:ascii="Arial" w:hAnsi="Arial"/>
                <w:snapToGrid w:val="0"/>
                <w:color w:val="000000"/>
                <w:sz w:val="16"/>
              </w:rPr>
              <w:t>identifying facilities to ensure that all are included, both for the initial inventor</w:t>
            </w:r>
            <w:r w:rsidR="00C07250">
              <w:rPr>
                <w:rFonts w:ascii="Arial" w:hAnsi="Arial"/>
                <w:snapToGrid w:val="0"/>
                <w:color w:val="000000"/>
                <w:sz w:val="16"/>
              </w:rPr>
              <w:t>y and then each subsequent year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pStyle w:val="Bullet"/>
              <w:tabs>
                <w:tab w:val="left" w:pos="463"/>
                <w:tab w:val="left" w:pos="3113"/>
              </w:tabs>
              <w:spacing w:after="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br w:type="page"/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  <w:t>Operational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GHG List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GHGs included in inventory</w:t>
            </w:r>
            <w:r w:rsidR="00C07250">
              <w:rPr>
                <w:rFonts w:ascii="Arial" w:hAnsi="Arial"/>
                <w:snapToGrid w:val="0"/>
                <w:color w:val="000000"/>
                <w:sz w:val="16"/>
              </w:rPr>
              <w:t>, and those which are not emitted from company operations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of the six major GHGs (CO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, CH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, N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O, HFCs, PFCs, and SF</w:t>
            </w:r>
            <w:r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)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>accounted for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?  Are small sources of a GHG overlooked?  Has </w:t>
            </w:r>
            <w:r w:rsidR="00A2519E">
              <w:rPr>
                <w:rFonts w:ascii="Arial" w:hAnsi="Arial"/>
                <w:snapToGrid w:val="0"/>
                <w:color w:val="000000"/>
                <w:sz w:val="16"/>
              </w:rPr>
              <w:t>company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at least made an estimate of the emissions from small sources and included those estimates in their inventory?  </w:t>
            </w:r>
          </w:p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does the GHG list compare to the list of emission sources specified in #9 and #10?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8.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Emission Source Identification Procedure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procedure / method used to identify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 xml:space="preserve">each of the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direct and indirect emission sources.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procedure likely to identify all sources?  Has the procedure captured all stationary, mobile, indirect, process, and fugitive sources, including small sources? 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If a new source is added (e.g. emergency generator), 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what is the process to ensure that it is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>included in the inventory?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 w:rsidP="004C020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Does the emissions source identification procedure include 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coordinating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with all the appropriate people, whose roles and responsibilities are defined in </w:t>
            </w:r>
            <w:r w:rsidRPr="001162E7">
              <w:rPr>
                <w:rFonts w:ascii="Arial" w:hAnsi="Arial"/>
                <w:snapToGrid w:val="0"/>
                <w:color w:val="000000"/>
                <w:sz w:val="16"/>
              </w:rPr>
              <w:t>#24?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Direct Sources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groups of sources by emission category (e.g., under stationary combustion: thermal oxidizers, engines, flares, etc.).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pStyle w:val="BodyText2"/>
            </w:pPr>
            <w:r>
              <w:rPr>
                <w:i/>
              </w:rPr>
              <w:t>It is not necessary to enumerate each piece of equipment.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direct emission sources included (stationary, mobile, fugitive, and process)?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does this list compare with other company lists of emissions sources (e.g., a site’s Title V air permit that has a list of all major stationary sources of regulated emissions)?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10.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Indirect Sources – Energy Import / Export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energy imports or exports that are reflected in the inventory (e.g., steam, electricity, hot water, etc.).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indirect emission sources included (purchased electricity, steam, and hot water)?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11.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Optional Sources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other optional emission sources that are accounted for in the inventory (e.g.,</w:t>
            </w:r>
            <w:r w:rsidR="00B9408A">
              <w:t xml:space="preserve"> </w:t>
            </w:r>
            <w:r w:rsidR="00B9408A" w:rsidRPr="00B9408A">
              <w:rPr>
                <w:rFonts w:ascii="Arial" w:hAnsi="Arial"/>
                <w:snapToGrid w:val="0"/>
                <w:color w:val="000000"/>
                <w:sz w:val="16"/>
              </w:rPr>
              <w:t>business travel, product transport, employee commuting, outsourced activities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 xml:space="preserve">, </w:t>
            </w:r>
            <w:r w:rsidR="00B9408A" w:rsidRPr="00B9408A">
              <w:rPr>
                <w:rFonts w:ascii="Arial" w:hAnsi="Arial"/>
                <w:snapToGrid w:val="0"/>
                <w:color w:val="000000"/>
                <w:sz w:val="16"/>
              </w:rPr>
              <w:t>purchases of green power and/or offsets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optional sources included accurately (i.e. entire emissions source accounted for and not just the reductions)?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the optional sources included relevant to the company profile?  </w:t>
            </w:r>
          </w:p>
        </w:tc>
      </w:tr>
      <w:tr w:rsidR="00081CF4">
        <w:trPr>
          <w:cantSplit/>
        </w:trPr>
        <w:tc>
          <w:tcPr>
            <w:tcW w:w="468" w:type="dxa"/>
          </w:tcPr>
          <w:p w:rsidR="00081CF4" w:rsidRDefault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12.</w:t>
            </w:r>
          </w:p>
        </w:tc>
        <w:tc>
          <w:tcPr>
            <w:tcW w:w="2610" w:type="dxa"/>
          </w:tcPr>
          <w:p w:rsidR="00081CF4" w:rsidRDefault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RECs</w:t>
            </w:r>
          </w:p>
        </w:tc>
        <w:tc>
          <w:tcPr>
            <w:tcW w:w="4770" w:type="dxa"/>
          </w:tcPr>
          <w:p w:rsidR="00081CF4" w:rsidRPr="00081CF4" w:rsidRDefault="00081CF4" w:rsidP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>Use of RECs to reduce GHG emissions.</w:t>
            </w:r>
            <w:r w:rsidR="00C73C9A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State whether the company will use green power to reduce its indirect electricity emissions only. Note that green power cannot be used to reduce any other category of emissions. </w:t>
            </w:r>
          </w:p>
          <w:p w:rsidR="00081CF4" w:rsidRDefault="00081CF4" w:rsidP="00081CF4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081CF4" w:rsidRPr="00081CF4" w:rsidRDefault="00081CF4" w:rsidP="00081CF4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See EPA’s Guidance for Green Power Purchases </w:t>
            </w:r>
            <w:hyperlink r:id="rId7" w:history="1">
              <w:r w:rsidRPr="00081CF4">
                <w:rPr>
                  <w:rFonts w:ascii="Arial" w:hAnsi="Arial"/>
                  <w:color w:val="000000"/>
                  <w:sz w:val="16"/>
                </w:rPr>
                <w:t>http://www.epa.gov/climateleaders/documents/greenpower_guidance.pdf</w:t>
              </w:r>
            </w:hyperlink>
          </w:p>
          <w:p w:rsidR="00081CF4" w:rsidRDefault="00081CF4" w:rsidP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81CF4">
        <w:trPr>
          <w:cantSplit/>
        </w:trPr>
        <w:tc>
          <w:tcPr>
            <w:tcW w:w="468" w:type="dxa"/>
          </w:tcPr>
          <w:p w:rsidR="00081CF4" w:rsidRDefault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13.</w:t>
            </w:r>
          </w:p>
        </w:tc>
        <w:tc>
          <w:tcPr>
            <w:tcW w:w="2610" w:type="dxa"/>
          </w:tcPr>
          <w:p w:rsidR="00081CF4" w:rsidRDefault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Offset Projects</w:t>
            </w:r>
          </w:p>
        </w:tc>
        <w:tc>
          <w:tcPr>
            <w:tcW w:w="4770" w:type="dxa"/>
          </w:tcPr>
          <w:p w:rsidR="00081CF4" w:rsidRDefault="00081CF4" w:rsidP="00C73C9A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>Use of Offset Projects to reduce GHG emissions.</w:t>
            </w:r>
            <w:r w:rsidR="00C73C9A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 xml:space="preserve">State whether the company will use offsets to help achieve its GHG reduction goal. </w:t>
            </w:r>
          </w:p>
        </w:tc>
        <w:tc>
          <w:tcPr>
            <w:tcW w:w="6660" w:type="dxa"/>
          </w:tcPr>
          <w:p w:rsidR="00081CF4" w:rsidRPr="00081CF4" w:rsidRDefault="00081CF4" w:rsidP="00081CF4">
            <w:pPr>
              <w:tabs>
                <w:tab w:val="left" w:pos="463"/>
                <w:tab w:val="left" w:pos="3113"/>
                <w:tab w:val="left" w:pos="3236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081CF4">
              <w:rPr>
                <w:rFonts w:ascii="Arial" w:hAnsi="Arial"/>
                <w:snapToGrid w:val="0"/>
                <w:color w:val="000000"/>
                <w:sz w:val="16"/>
              </w:rPr>
              <w:t>See EPA’s Guidance for Offset Purchases http://www.epa.gov/climateleaders/documents/resources/OffsetProgramOverview.pdf</w:t>
            </w:r>
          </w:p>
          <w:p w:rsidR="00081CF4" w:rsidRDefault="00081CF4" w:rsidP="00081CF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Emissions Quantification</w:t>
            </w:r>
          </w:p>
        </w:tc>
        <w:tc>
          <w:tcPr>
            <w:tcW w:w="477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14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Quantification Method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emission quantification methodologies and reference for each emission source and offset project.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methods are used, specify which facility / source uses the respective method.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correct quantification methodologies being used?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methods based on reliable accurate and current references?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15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and Other Constants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list of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and other constants and reference for factors and constants (i.e. Global Warming Potentials and conversion factors) for each emission category.  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Descriptions of the process for how 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>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 w:rsidR="00B9408A">
              <w:rPr>
                <w:rFonts w:ascii="Arial" w:hAnsi="Arial"/>
                <w:snapToGrid w:val="0"/>
                <w:color w:val="000000"/>
                <w:sz w:val="16"/>
              </w:rPr>
              <w:t xml:space="preserve"> factors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are kept current.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factors are used, specify which facility / source uses the respective factor.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the correct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being used, based on reliable accurate and current references?  Are factors updated annually?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4C020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4C020E">
              <w:rPr>
                <w:rFonts w:ascii="Arial" w:hAnsi="Arial"/>
                <w:snapToGrid w:val="0"/>
                <w:color w:val="000000"/>
                <w:sz w:val="16"/>
              </w:rPr>
              <w:t xml:space="preserve">If the company is using its own emissions factors, how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do the factors compare to </w:t>
            </w:r>
            <w:r w:rsidR="007A44B2">
              <w:rPr>
                <w:rFonts w:ascii="Arial" w:hAnsi="Arial"/>
                <w:snapToGrid w:val="0"/>
                <w:color w:val="000000"/>
                <w:sz w:val="16"/>
              </w:rPr>
              <w:t xml:space="preserve">other 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default values </w:t>
            </w:r>
            <w:r w:rsidR="007A44B2">
              <w:rPr>
                <w:rFonts w:ascii="Arial" w:hAnsi="Arial"/>
                <w:snapToGrid w:val="0"/>
                <w:color w:val="000000"/>
                <w:sz w:val="16"/>
              </w:rPr>
              <w:t>used for corporate GHG reporting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 (e.g., do stationary combustion CO</w:t>
            </w:r>
            <w:r w:rsidR="00C66FB6">
              <w:rPr>
                <w:rFonts w:ascii="Arial" w:hAnsi="Arial"/>
                <w:snapToGrid w:val="0"/>
                <w:color w:val="000000"/>
                <w:sz w:val="16"/>
                <w:vertAlign w:val="subscript"/>
              </w:rPr>
              <w:t>2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 xml:space="preserve"> factors account for carbon oxidation)?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method for determining electricity production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 documented (e.g., from utility, default average regional factor, etc.)?  </w:t>
            </w:r>
          </w:p>
        </w:tc>
      </w:tr>
      <w:tr w:rsidR="00C66FB6">
        <w:trPr>
          <w:cantSplit/>
        </w:trPr>
        <w:tc>
          <w:tcPr>
            <w:tcW w:w="468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Data Management</w:t>
            </w:r>
          </w:p>
        </w:tc>
        <w:tc>
          <w:tcPr>
            <w:tcW w:w="477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pct50" w:color="auto" w:fill="FFFFFF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16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Activity Data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/ name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of the </w:t>
            </w: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source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of activity data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documents or processes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required to complete quantification methodology (e.g., monthly fuel purchase records, fuel meter,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internal tracking and aggregation documents,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etc.) for each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>item of activity data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Where multiple data sources are used, specify which facility / source uses the respective data source.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activity data based on appropriate sources?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right activity data being collected for the quantification method described in #12?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pStyle w:val="BodyText2"/>
            </w:pPr>
            <w:r>
              <w:t>Is activity data the most accurate available (e.g., fuel purchases adjusted for stock, fuel use based on physical units not $)?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17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Management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[Roles and responsibilities 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process for collecting and processing activity or monitoring data 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from its original source to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the final emission data entered into the inventory. 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Includes a description of roles and responsibilities</w:t>
            </w:r>
            <w:r w:rsidR="004C020E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C020E" w:rsidRPr="004C020E">
              <w:rPr>
                <w:rFonts w:ascii="Arial" w:hAnsi="Arial"/>
                <w:snapToGrid w:val="0"/>
                <w:color w:val="000000"/>
                <w:sz w:val="16"/>
              </w:rPr>
              <w:t>for all company representatives involved in developing and maintaining the company’s GHG inventory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  <w:p w:rsidR="00FB7DAF" w:rsidRDefault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FB7DAF" w:rsidRDefault="00FB7DAF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GHG data collection process is integrated with other reporting tools and processes.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process likely to avoid data errors in computing final rolled up inventory totals?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properly defined</w:t>
            </w:r>
            <w:r w:rsidR="00DF0AE2">
              <w:rPr>
                <w:rFonts w:ascii="Arial" w:hAnsi="Arial"/>
                <w:snapToGrid w:val="0"/>
                <w:color w:val="000000"/>
                <w:sz w:val="16"/>
              </w:rPr>
              <w:t xml:space="preserve"> and are the person / persons responsible for collecting data identified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process adequately defined and institutionalized?  </w:t>
            </w:r>
          </w:p>
          <w:p w:rsidR="00FB7DAF" w:rsidRDefault="00FB7DAF" w:rsidP="00FB7DAF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:rsidR="00FB7DAF" w:rsidRDefault="00FB7DAF" w:rsidP="00FB7DAF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 the process currently integrated with other data collection or management tools or processes?  If not, can it be to enhance efficiency?</w:t>
            </w:r>
          </w:p>
          <w:p w:rsidR="00FB7DAF" w:rsidRDefault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18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Normalization Factor(s) Selection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C66FB6" w:rsidRDefault="00C66FB6" w:rsidP="007A44B2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[Only necessary if </w:t>
            </w:r>
            <w:r w:rsidR="00A2519E">
              <w:rPr>
                <w:rFonts w:ascii="Arial" w:hAnsi="Arial"/>
                <w:b/>
                <w:snapToGrid w:val="0"/>
                <w:color w:val="000000"/>
                <w:sz w:val="16"/>
              </w:rPr>
              <w:t>company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7A44B2">
              <w:rPr>
                <w:rFonts w:ascii="Arial" w:hAnsi="Arial"/>
                <w:b/>
                <w:snapToGrid w:val="0"/>
                <w:color w:val="000000"/>
                <w:sz w:val="16"/>
              </w:rPr>
              <w:t>is tracking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an intensity target]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normalization factor (units of product, $ revenue, etc.) used to calculate emissions intensity.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Documentation on the selection of the normalization factor.</w:t>
            </w:r>
          </w:p>
        </w:tc>
        <w:tc>
          <w:tcPr>
            <w:tcW w:w="6660" w:type="dxa"/>
          </w:tcPr>
          <w:p w:rsidR="00C66FB6" w:rsidRDefault="00C66FB6" w:rsidP="00A2519E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the chosen normalization factor and associated intensity value a reasonable metric to represent the </w:t>
            </w:r>
            <w:r w:rsidR="00A2519E">
              <w:rPr>
                <w:rFonts w:ascii="Arial" w:hAnsi="Arial"/>
                <w:snapToGrid w:val="0"/>
                <w:color w:val="000000"/>
                <w:sz w:val="16"/>
              </w:rPr>
              <w:t>company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’s emissions management performance?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19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Collection Process – Normalization Factor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 w:rsidP="007A44B2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[Only necessary if </w:t>
            </w:r>
            <w:r w:rsidR="00A2519E">
              <w:rPr>
                <w:rFonts w:ascii="Arial" w:hAnsi="Arial"/>
                <w:b/>
                <w:snapToGrid w:val="0"/>
                <w:color w:val="000000"/>
                <w:sz w:val="16"/>
              </w:rPr>
              <w:t>company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7A44B2">
              <w:rPr>
                <w:rFonts w:ascii="Arial" w:hAnsi="Arial"/>
                <w:b/>
                <w:snapToGrid w:val="0"/>
                <w:color w:val="000000"/>
                <w:sz w:val="16"/>
              </w:rPr>
              <w:t>is tracking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an intensity target]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process flow for collecting and processing activity or monitoring data to obtain the final normalization factor data entered into the inventory.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process likely to avoid data errors in computing final normalization factor and intensity value totals?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Collection Process – Quality Assurance</w:t>
            </w:r>
          </w:p>
          <w:p w:rsidR="00C66FB6" w:rsidRDefault="00C66FB6">
            <w:pPr>
              <w:pStyle w:val="Heading7"/>
            </w:pP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major sources of uncertainty and quality assurance measures for the data process flow.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information on how measurement system accuracy is assessed.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process for minimizing error?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all likely error sources considered?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are uncertainties being addressed?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</w:t>
            </w:r>
            <w:r w:rsidR="00C66FB6"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Data Collection System Security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data collection system security is maintained.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likely are errors to occur within the data collection and management system due to spreadsheets being damaged or otherwise transformed, unauthorized access to databases, and other information system problems?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Frequency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 frequency for reporting facility data to the corporate level.</w:t>
            </w:r>
          </w:p>
          <w:p w:rsidR="00B9408A" w:rsidRDefault="00B9408A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B9408A" w:rsidRDefault="00B9408A" w:rsidP="00B9408A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the inventory is aggregated on a calendar year or other basis. 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 reporting frequency sufficient to avoid significant errors in reporting (i.e. at least annual reporting)?</w:t>
            </w:r>
          </w:p>
        </w:tc>
      </w:tr>
      <w:tr w:rsidR="00C66FB6">
        <w:trPr>
          <w:cantSplit/>
        </w:trPr>
        <w:tc>
          <w:tcPr>
            <w:tcW w:w="468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Base Year</w:t>
            </w:r>
          </w:p>
        </w:tc>
        <w:tc>
          <w:tcPr>
            <w:tcW w:w="477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Adjustment – Structural Changes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approach for adjusting base year emissions for mergers, acquisitions, divestitures, and outsourcing.</w:t>
            </w:r>
          </w:p>
          <w:p w:rsidR="00412A54" w:rsidRDefault="00412A5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412A54" w:rsidRDefault="00412A5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a significance threshold is used to define whether adjustments are made. 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defining the process for determining when changes are necessary.</w:t>
            </w:r>
          </w:p>
        </w:tc>
        <w:tc>
          <w:tcPr>
            <w:tcW w:w="6660" w:type="dxa"/>
          </w:tcPr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Is there an effective and accurate process for adjusting base year emissions </w:t>
            </w:r>
            <w:r w:rsidR="00412A54">
              <w:rPr>
                <w:snapToGrid w:val="0"/>
                <w:color w:val="000000"/>
              </w:rPr>
              <w:t xml:space="preserve">and normalization factor </w:t>
            </w:r>
            <w:r>
              <w:rPr>
                <w:snapToGrid w:val="0"/>
                <w:color w:val="000000"/>
              </w:rPr>
              <w:t xml:space="preserve">for structural changes?  Are procedures in place to trigger adjustments when structural changes occur?  </w:t>
            </w: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Are changes implemented consistently (e.g., for emissions decreases as well as increases)?  </w:t>
            </w: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:rsidR="00412A54" w:rsidRDefault="00412A54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 w:rsidRPr="00412A54">
              <w:rPr>
                <w:snapToGrid w:val="0"/>
                <w:color w:val="000000"/>
              </w:rPr>
              <w:t xml:space="preserve">If actual data back to base year for acquired facilities is unavailable, how will it be estimated?  </w:t>
            </w:r>
          </w:p>
          <w:p w:rsidR="00412A54" w:rsidRDefault="00412A54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  <w:color w:val="000000"/>
              </w:rPr>
              <w:t>How is this linked to #5 (method) and #6 (list) of facilities?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Adjustment – Methodology Changes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approach for adjusting base year emissions for changes in calculation methodologies, emission</w:t>
            </w:r>
            <w:r w:rsidR="00422CC9">
              <w:rPr>
                <w:rFonts w:ascii="Arial" w:hAnsi="Arial"/>
                <w:snapToGrid w:val="0"/>
                <w:color w:val="000000"/>
                <w:sz w:val="16"/>
              </w:rPr>
              <w:t>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factors, or error correction.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412A54" w:rsidRDefault="00412A54" w:rsidP="00412A5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An indication of whether a significance threshold is used to define whether adjustments are made. </w:t>
            </w:r>
          </w:p>
          <w:p w:rsidR="00412A54" w:rsidRDefault="00412A54" w:rsidP="00412A5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This includes defining the process for determining when changes are necessary.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an effective and accurate process for adjusting base year emissions for methodology changes?  Are procedures in place to trigger adjustments when methodology changes occur?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 is this linked to #12 (method) and #13 (factors) for calculating emissions?</w:t>
            </w:r>
          </w:p>
        </w:tc>
      </w:tr>
      <w:tr w:rsidR="00C66FB6">
        <w:trPr>
          <w:cantSplit/>
        </w:trPr>
        <w:tc>
          <w:tcPr>
            <w:tcW w:w="468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:rsidR="00C66FB6" w:rsidRDefault="00C66FB6">
            <w:pPr>
              <w:pStyle w:val="Heading7"/>
              <w:keepNext w:val="0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Management Tools</w:t>
            </w:r>
          </w:p>
        </w:tc>
        <w:tc>
          <w:tcPr>
            <w:tcW w:w="477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Roles and Responsibilities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overall roles and responsibilities for corporate GHG inventory development and maintenance, include discussion of management role(s).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sufficiently spelled out to ensure that tasks are completed?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roles and responsibilities adequately defined and institutionalized?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Training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inventory development training received by inventory development team members.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sufficient training provided to ensure that tasks are completed accurately?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Are new staff properly trained and aware of their roles and responsibilities?  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Document Retention and Control Policy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how version control is maintained for GHG inventory management guidelines.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 w:rsidP="00A2519E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 w:rsidR="00A2519E">
              <w:rPr>
                <w:rFonts w:ascii="Arial" w:hAnsi="Arial"/>
                <w:snapToGrid w:val="0"/>
                <w:color w:val="000000"/>
                <w:sz w:val="16"/>
              </w:rPr>
              <w:t>company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’s document retention policy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>for activity data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 records and calculation tools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.  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reasonable process for ensuring that all participants are working to the same IMP guidelines?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 w:rsidP="00412A54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Does the document retention policy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ensure that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data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beginning with the base year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is maintained</w:t>
            </w:r>
            <w:r w:rsidR="00221A25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 xml:space="preserve">at 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least through the end of </w:t>
            </w:r>
            <w:r w:rsidR="00412A54">
              <w:rPr>
                <w:rFonts w:ascii="Arial" w:hAnsi="Arial"/>
                <w:snapToGrid w:val="0"/>
                <w:color w:val="000000"/>
                <w:sz w:val="16"/>
              </w:rPr>
              <w:t>the</w:t>
            </w:r>
            <w:r w:rsidR="00412A54" w:rsidRPr="00412A54">
              <w:rPr>
                <w:rFonts w:ascii="Arial" w:hAnsi="Arial"/>
                <w:snapToGrid w:val="0"/>
                <w:color w:val="000000"/>
                <w:sz w:val="16"/>
              </w:rPr>
              <w:t xml:space="preserve"> goal period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?  </w:t>
            </w:r>
          </w:p>
        </w:tc>
      </w:tr>
      <w:tr w:rsidR="00C66FB6">
        <w:trPr>
          <w:cantSplit/>
        </w:trPr>
        <w:tc>
          <w:tcPr>
            <w:tcW w:w="468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FFFFFF"/>
                <w:sz w:val="20"/>
              </w:rPr>
            </w:pPr>
          </w:p>
        </w:tc>
        <w:tc>
          <w:tcPr>
            <w:tcW w:w="261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FFFFFF"/>
                <w:sz w:val="18"/>
              </w:rPr>
              <w:t>Auditing &amp; Verification</w:t>
            </w:r>
          </w:p>
        </w:tc>
        <w:tc>
          <w:tcPr>
            <w:tcW w:w="477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  <w:tc>
          <w:tcPr>
            <w:tcW w:w="6660" w:type="dxa"/>
            <w:shd w:val="clear" w:color="auto" w:fill="808080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color w:val="FFFFFF"/>
                <w:sz w:val="20"/>
              </w:rPr>
            </w:pP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color w:val="000000"/>
                <w:sz w:val="16"/>
              </w:rPr>
              <w:t>8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Internal Auditing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 description of the internal audit process.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Timing of the audit.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an audit process that is likely to identify gaps and errors in inventory management?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Are auditor roles and responsibilities properly defined in #24?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C66FB6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</w:t>
            </w:r>
            <w:r w:rsidR="00344337">
              <w:rPr>
                <w:rFonts w:ascii="Arial" w:hAnsi="Arial"/>
                <w:snapToGrid w:val="0"/>
                <w:sz w:val="16"/>
              </w:rPr>
              <w:t>9</w:t>
            </w:r>
            <w:r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External Validation and/or Verification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[Optional]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If applicable, 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description of the </w:t>
            </w:r>
            <w:r>
              <w:rPr>
                <w:rFonts w:ascii="Arial" w:hAnsi="Arial"/>
                <w:snapToGrid w:val="0"/>
                <w:sz w:val="16"/>
              </w:rPr>
              <w:t>process for external review.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i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Timing of the audit. </w:t>
            </w:r>
          </w:p>
        </w:tc>
        <w:tc>
          <w:tcPr>
            <w:tcW w:w="6660" w:type="dxa"/>
          </w:tcPr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</w:rPr>
              <w:t>What protocol is the external validation / verification performed to?</w:t>
            </w: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</w:rPr>
              <w:t>What are the overall results of the validation / verification?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30</w:t>
            </w:r>
            <w:r w:rsidR="00C66FB6"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Management Review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>
              <w:rPr>
                <w:rFonts w:ascii="Arial" w:hAnsi="Arial"/>
                <w:snapToGrid w:val="0"/>
                <w:sz w:val="16"/>
              </w:rPr>
              <w:t>senior management review process.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6660" w:type="dxa"/>
          </w:tcPr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senior managers involved in signing off on the inventory?</w:t>
            </w: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  <w:color w:val="000000"/>
              </w:rPr>
            </w:pPr>
          </w:p>
          <w:p w:rsidR="00C66FB6" w:rsidRDefault="00C66FB6">
            <w:pPr>
              <w:pStyle w:val="FootnoteText"/>
              <w:tabs>
                <w:tab w:val="left" w:pos="463"/>
                <w:tab w:val="left" w:pos="3113"/>
              </w:tabs>
              <w:rPr>
                <w:snapToGrid w:val="0"/>
              </w:rPr>
            </w:pPr>
            <w:r>
              <w:rPr>
                <w:snapToGrid w:val="0"/>
                <w:color w:val="000000"/>
              </w:rPr>
              <w:t>Are manager roles and responsibilities properly defined in #24?</w:t>
            </w:r>
          </w:p>
        </w:tc>
      </w:tr>
      <w:tr w:rsidR="00C66FB6">
        <w:trPr>
          <w:cantSplit/>
        </w:trPr>
        <w:tc>
          <w:tcPr>
            <w:tcW w:w="468" w:type="dxa"/>
          </w:tcPr>
          <w:p w:rsidR="00C66FB6" w:rsidRDefault="00344337" w:rsidP="00FB7DAF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31</w:t>
            </w:r>
            <w:r w:rsidR="00C66FB6">
              <w:rPr>
                <w:rFonts w:ascii="Arial" w:hAnsi="Arial"/>
                <w:snapToGrid w:val="0"/>
                <w:sz w:val="16"/>
              </w:rPr>
              <w:t>.</w:t>
            </w:r>
          </w:p>
        </w:tc>
        <w:tc>
          <w:tcPr>
            <w:tcW w:w="261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Corrective Action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[Can be defined over time]</w:t>
            </w:r>
          </w:p>
        </w:tc>
        <w:tc>
          <w:tcPr>
            <w:tcW w:w="477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A description of the </w:t>
            </w:r>
            <w:r>
              <w:rPr>
                <w:rFonts w:ascii="Arial" w:hAnsi="Arial"/>
                <w:snapToGrid w:val="0"/>
                <w:sz w:val="16"/>
              </w:rPr>
              <w:t>process for implementing and documenting corrective actions for all internal and external reviews.</w:t>
            </w:r>
          </w:p>
        </w:tc>
        <w:tc>
          <w:tcPr>
            <w:tcW w:w="6660" w:type="dxa"/>
          </w:tcPr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Is there a process for correcting errors or problems found?</w:t>
            </w: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C66FB6" w:rsidRDefault="00C66FB6">
            <w:pPr>
              <w:tabs>
                <w:tab w:val="left" w:pos="463"/>
                <w:tab w:val="left" w:pos="3113"/>
              </w:tabs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Is it clear who is responsible for correcting a problem, when the problem should be solved, and how the correction process is tracked?  </w:t>
            </w:r>
          </w:p>
        </w:tc>
      </w:tr>
    </w:tbl>
    <w:p w:rsidR="00C66FB6" w:rsidRDefault="00C66FB6">
      <w:pPr>
        <w:pStyle w:val="Header"/>
        <w:tabs>
          <w:tab w:val="clear" w:pos="4320"/>
          <w:tab w:val="clear" w:pos="8640"/>
        </w:tabs>
      </w:pPr>
    </w:p>
    <w:sectPr w:rsidR="00C66FB6" w:rsidSect="00217D20">
      <w:headerReference w:type="default" r:id="rId8"/>
      <w:footerReference w:type="default" r:id="rId9"/>
      <w:pgSz w:w="15840" w:h="12240" w:orient="landscape" w:code="1"/>
      <w:pgMar w:top="1440" w:right="720" w:bottom="1008" w:left="720" w:header="14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2C" w:rsidRDefault="003F592C">
      <w:r>
        <w:separator/>
      </w:r>
    </w:p>
  </w:endnote>
  <w:endnote w:type="continuationSeparator" w:id="0">
    <w:p w:rsidR="003F592C" w:rsidRDefault="003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8A" w:rsidRDefault="00CB57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38100</wp:posOffset>
              </wp:positionV>
              <wp:extent cx="9235440" cy="27432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5440" cy="2743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FCFDF"/>
                          </a:gs>
                          <a:gs pos="50000">
                            <a:srgbClr val="9797BB"/>
                          </a:gs>
                          <a:gs pos="100000">
                            <a:srgbClr val="CFCFD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08A" w:rsidRDefault="00B9408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7200"/>
                              <w:tab w:val="right" w:pos="14220"/>
                            </w:tabs>
                            <w:spacing w:before="6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  <w:t xml:space="preserve">Page 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separate"/>
                          </w:r>
                          <w:r w:rsidR="00CB571F"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 xml:space="preserve"> of 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instrText xml:space="preserve"> NUMPAGES </w:instrTex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separate"/>
                          </w:r>
                          <w:r w:rsidR="00CB571F"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4</w:t>
                          </w:r>
                          <w:r w:rsidR="00EB60D6">
                            <w:rPr>
                              <w:rStyle w:val="PageNumber"/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ab/>
                          </w:r>
                          <w:r w:rsidR="007A44B2">
                            <w:rPr>
                              <w:rStyle w:val="PageNumber"/>
                              <w:rFonts w:ascii="Times New Roman" w:hAnsi="Times New Roman"/>
                            </w:rPr>
                            <w:t>09</w:t>
                          </w:r>
                          <w:r w:rsidR="00422CC9">
                            <w:rPr>
                              <w:rStyle w:val="PageNumber"/>
                              <w:rFonts w:ascii="Times New Roman" w:hAnsi="Times New Roman"/>
                            </w:rPr>
                            <w:t>/</w:t>
                          </w:r>
                          <w:r w:rsidR="007A44B2">
                            <w:rPr>
                              <w:rStyle w:val="PageNumber"/>
                              <w:rFonts w:ascii="Times New Roman" w:hAnsi="Times New Roman"/>
                            </w:rPr>
                            <w:t>30</w:t>
                          </w:r>
                          <w:r w:rsidR="00422CC9">
                            <w:rPr>
                              <w:rStyle w:val="PageNumber"/>
                              <w:rFonts w:ascii="Times New Roman" w:hAnsi="Times New Roman"/>
                            </w:rPr>
                            <w:t xml:space="preserve">/2011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</w:rPr>
                            <w:t>VERSION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.2pt;margin-top:3pt;width:727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" o:allowincell="f" fillcolor="#cfcfdf" stroked="f">
              <v:fill color2="#9797bb" angle="90" focus="50%" type="gradient"/>
              <v:textbox>
                <w:txbxContent>
                  <w:p w:rsidR="00B9408A" w:rsidRDefault="00B9408A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7200"/>
                        <w:tab w:val="right" w:pos="14220"/>
                      </w:tabs>
                      <w:spacing w:before="6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ab/>
                      <w:t xml:space="preserve">Page 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instrText xml:space="preserve"> PAGE </w:instrTex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separate"/>
                    </w:r>
                    <w:r w:rsidR="00CB571F">
                      <w:rPr>
                        <w:rStyle w:val="PageNumber"/>
                        <w:rFonts w:ascii="Times New Roman" w:hAnsi="Times New Roman"/>
                        <w:noProof/>
                      </w:rPr>
                      <w:t>2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 xml:space="preserve"> of 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instrText xml:space="preserve"> NUMPAGES </w:instrTex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separate"/>
                    </w:r>
                    <w:r w:rsidR="00CB571F">
                      <w:rPr>
                        <w:rStyle w:val="PageNumber"/>
                        <w:rFonts w:ascii="Times New Roman" w:hAnsi="Times New Roman"/>
                        <w:noProof/>
                      </w:rPr>
                      <w:t>4</w:t>
                    </w:r>
                    <w:r w:rsidR="00EB60D6">
                      <w:rPr>
                        <w:rStyle w:val="PageNumber"/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ab/>
                    </w:r>
                    <w:r w:rsidR="007A44B2">
                      <w:rPr>
                        <w:rStyle w:val="PageNumber"/>
                        <w:rFonts w:ascii="Times New Roman" w:hAnsi="Times New Roman"/>
                      </w:rPr>
                      <w:t>09</w:t>
                    </w:r>
                    <w:r w:rsidR="00422CC9">
                      <w:rPr>
                        <w:rStyle w:val="PageNumber"/>
                        <w:rFonts w:ascii="Times New Roman" w:hAnsi="Times New Roman"/>
                      </w:rPr>
                      <w:t>/</w:t>
                    </w:r>
                    <w:r w:rsidR="007A44B2">
                      <w:rPr>
                        <w:rStyle w:val="PageNumber"/>
                        <w:rFonts w:ascii="Times New Roman" w:hAnsi="Times New Roman"/>
                      </w:rPr>
                      <w:t>30</w:t>
                    </w:r>
                    <w:r w:rsidR="00422CC9">
                      <w:rPr>
                        <w:rStyle w:val="PageNumber"/>
                        <w:rFonts w:ascii="Times New Roman" w:hAnsi="Times New Roman"/>
                      </w:rPr>
                      <w:t xml:space="preserve">/2011 </w:t>
                    </w:r>
                    <w:r>
                      <w:rPr>
                        <w:rStyle w:val="PageNumber"/>
                        <w:rFonts w:ascii="Times New Roman" w:hAnsi="Times New Roman"/>
                      </w:rP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2C" w:rsidRDefault="003F592C">
      <w:r>
        <w:separator/>
      </w:r>
    </w:p>
  </w:footnote>
  <w:footnote w:type="continuationSeparator" w:id="0">
    <w:p w:rsidR="003F592C" w:rsidRDefault="003F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8A" w:rsidRDefault="00CB571F">
    <w:pPr>
      <w:pStyle w:val="Header"/>
      <w:tabs>
        <w:tab w:val="clear" w:pos="8640"/>
        <w:tab w:val="right" w:pos="10080"/>
      </w:tabs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960120</wp:posOffset>
              </wp:positionV>
              <wp:extent cx="2468880" cy="274320"/>
              <wp:effectExtent l="1905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08A" w:rsidRDefault="00B9408A">
                          <w:pPr>
                            <w:jc w:val="right"/>
                            <w:rPr>
                              <w:b/>
                              <w:color w:val="000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75.6pt;width:19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ZP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IzKP4xhMJdiiBXkX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" o:allowincell="f" filled="f" stroked="f">
              <v:textbox>
                <w:txbxContent>
                  <w:p w:rsidR="00B9408A" w:rsidRDefault="00B9408A">
                    <w:pPr>
                      <w:jc w:val="right"/>
                      <w:rPr>
                        <w:b/>
                        <w:color w:val="00008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E2A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0B9"/>
    <w:multiLevelType w:val="multilevel"/>
    <w:tmpl w:val="1C2898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411AE6"/>
    <w:multiLevelType w:val="singleLevel"/>
    <w:tmpl w:val="73E2401E"/>
    <w:lvl w:ilvl="0">
      <w:start w:val="1"/>
      <w:numFmt w:val="bullet"/>
      <w:lvlText w:val="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" w15:restartNumberingAfterBreak="0">
    <w:nsid w:val="196B56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F21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8C3CAE"/>
    <w:multiLevelType w:val="singleLevel"/>
    <w:tmpl w:val="4EA4721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6" w15:restartNumberingAfterBreak="0">
    <w:nsid w:val="21D63BA5"/>
    <w:multiLevelType w:val="multilevel"/>
    <w:tmpl w:val="F4EA5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00C1A"/>
    <w:multiLevelType w:val="singleLevel"/>
    <w:tmpl w:val="8A4C2E3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7FA6E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6631ED"/>
    <w:multiLevelType w:val="multilevel"/>
    <w:tmpl w:val="194E17D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F0930D0"/>
    <w:multiLevelType w:val="singleLevel"/>
    <w:tmpl w:val="A79ECE7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2A60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A41682"/>
    <w:multiLevelType w:val="multilevel"/>
    <w:tmpl w:val="6110F67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1BE64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02395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CF260C"/>
    <w:multiLevelType w:val="singleLevel"/>
    <w:tmpl w:val="A79ECE7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72503D"/>
    <w:multiLevelType w:val="multilevel"/>
    <w:tmpl w:val="0ACC7BB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461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4C61F4"/>
    <w:multiLevelType w:val="singleLevel"/>
    <w:tmpl w:val="8A4C2E3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8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cfdf,#8888b0,#9797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46"/>
    <w:rsid w:val="00013429"/>
    <w:rsid w:val="0003657B"/>
    <w:rsid w:val="00081CF4"/>
    <w:rsid w:val="001162E7"/>
    <w:rsid w:val="00137C48"/>
    <w:rsid w:val="00142DCE"/>
    <w:rsid w:val="0014645B"/>
    <w:rsid w:val="00183987"/>
    <w:rsid w:val="001B1583"/>
    <w:rsid w:val="00217D20"/>
    <w:rsid w:val="00221A25"/>
    <w:rsid w:val="00247F8A"/>
    <w:rsid w:val="00263392"/>
    <w:rsid w:val="00264FC3"/>
    <w:rsid w:val="002875A9"/>
    <w:rsid w:val="00344337"/>
    <w:rsid w:val="0036639E"/>
    <w:rsid w:val="003F592C"/>
    <w:rsid w:val="00412A54"/>
    <w:rsid w:val="00422CC9"/>
    <w:rsid w:val="00472897"/>
    <w:rsid w:val="004C020E"/>
    <w:rsid w:val="004D38EA"/>
    <w:rsid w:val="00551501"/>
    <w:rsid w:val="005F7626"/>
    <w:rsid w:val="00655756"/>
    <w:rsid w:val="006861D9"/>
    <w:rsid w:val="006C774B"/>
    <w:rsid w:val="006D1A62"/>
    <w:rsid w:val="00705787"/>
    <w:rsid w:val="00714FE7"/>
    <w:rsid w:val="007332AD"/>
    <w:rsid w:val="007A44B2"/>
    <w:rsid w:val="007C3407"/>
    <w:rsid w:val="0089790A"/>
    <w:rsid w:val="0094109E"/>
    <w:rsid w:val="00942C53"/>
    <w:rsid w:val="009D782A"/>
    <w:rsid w:val="009E5750"/>
    <w:rsid w:val="00A2519E"/>
    <w:rsid w:val="00A81197"/>
    <w:rsid w:val="00A9564B"/>
    <w:rsid w:val="00B9408A"/>
    <w:rsid w:val="00BA7F57"/>
    <w:rsid w:val="00BD7011"/>
    <w:rsid w:val="00C07250"/>
    <w:rsid w:val="00C65FEE"/>
    <w:rsid w:val="00C66FB6"/>
    <w:rsid w:val="00C706D3"/>
    <w:rsid w:val="00C73C9A"/>
    <w:rsid w:val="00C94DD9"/>
    <w:rsid w:val="00CB571F"/>
    <w:rsid w:val="00D86C7D"/>
    <w:rsid w:val="00D949BC"/>
    <w:rsid w:val="00DA48D1"/>
    <w:rsid w:val="00DC0632"/>
    <w:rsid w:val="00DC1789"/>
    <w:rsid w:val="00DC6262"/>
    <w:rsid w:val="00DE140F"/>
    <w:rsid w:val="00DF0AE2"/>
    <w:rsid w:val="00E21799"/>
    <w:rsid w:val="00E45BDA"/>
    <w:rsid w:val="00E50F4D"/>
    <w:rsid w:val="00E760F4"/>
    <w:rsid w:val="00EB60D6"/>
    <w:rsid w:val="00EC4446"/>
    <w:rsid w:val="00EE2334"/>
    <w:rsid w:val="00EF6F24"/>
    <w:rsid w:val="00F30213"/>
    <w:rsid w:val="00F6007E"/>
    <w:rsid w:val="00F668D5"/>
    <w:rsid w:val="00F858A6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cfcfdf,#8888b0,#9797bb"/>
    </o:shapedefaults>
    <o:shapelayout v:ext="edit">
      <o:idmap v:ext="edit" data="1"/>
    </o:shapelayout>
  </w:shapeDefaults>
  <w:decimalSymbol w:val="."/>
  <w:listSeparator w:val=","/>
  <w15:docId w15:val="{20A2D0C6-5D96-4C68-8EA8-181E07D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A9"/>
    <w:rPr>
      <w:sz w:val="24"/>
    </w:rPr>
  </w:style>
  <w:style w:type="paragraph" w:styleId="Heading1">
    <w:name w:val="heading 1"/>
    <w:basedOn w:val="Normal"/>
    <w:next w:val="Normal"/>
    <w:qFormat/>
    <w:rsid w:val="002875A9"/>
    <w:pPr>
      <w:keepNext/>
      <w:outlineLvl w:val="0"/>
    </w:pPr>
    <w:rPr>
      <w:rFonts w:ascii="Book Antiqua" w:hAnsi="Book Antiqua"/>
      <w:b/>
      <w:i/>
      <w:sz w:val="28"/>
    </w:rPr>
  </w:style>
  <w:style w:type="paragraph" w:styleId="Heading2">
    <w:name w:val="heading 2"/>
    <w:basedOn w:val="Normal"/>
    <w:next w:val="Normal"/>
    <w:qFormat/>
    <w:rsid w:val="002875A9"/>
    <w:pPr>
      <w:keepNext/>
      <w:outlineLvl w:val="1"/>
    </w:pPr>
    <w:rPr>
      <w:rFonts w:ascii="Book Antiqua" w:hAnsi="Book Antiqua"/>
      <w:b/>
      <w:sz w:val="28"/>
    </w:rPr>
  </w:style>
  <w:style w:type="paragraph" w:styleId="Heading3">
    <w:name w:val="heading 3"/>
    <w:basedOn w:val="Normal"/>
    <w:next w:val="Normal"/>
    <w:qFormat/>
    <w:rsid w:val="002875A9"/>
    <w:pPr>
      <w:keepNext/>
      <w:outlineLvl w:val="2"/>
    </w:pPr>
    <w:rPr>
      <w:rFonts w:ascii="Book Antiqua" w:hAnsi="Book Antiqua"/>
      <w:b/>
      <w:color w:val="000080"/>
      <w:sz w:val="28"/>
    </w:rPr>
  </w:style>
  <w:style w:type="paragraph" w:styleId="Heading4">
    <w:name w:val="heading 4"/>
    <w:basedOn w:val="Normal"/>
    <w:next w:val="Normal"/>
    <w:qFormat/>
    <w:rsid w:val="002875A9"/>
    <w:pPr>
      <w:keepNext/>
      <w:outlineLvl w:val="3"/>
    </w:pPr>
    <w:rPr>
      <w:rFonts w:ascii="Book Antiqua" w:hAnsi="Book Antiqua"/>
      <w:b/>
      <w:u w:val="single"/>
    </w:rPr>
  </w:style>
  <w:style w:type="paragraph" w:styleId="Heading7">
    <w:name w:val="heading 7"/>
    <w:basedOn w:val="Normal"/>
    <w:next w:val="Normal"/>
    <w:qFormat/>
    <w:rsid w:val="002875A9"/>
    <w:pPr>
      <w:keepNext/>
      <w:tabs>
        <w:tab w:val="left" w:pos="463"/>
        <w:tab w:val="left" w:pos="3113"/>
      </w:tabs>
      <w:outlineLvl w:val="6"/>
    </w:pPr>
    <w:rPr>
      <w:rFonts w:ascii="Arial" w:eastAsia="Times New Roman" w:hAnsi="Arial"/>
      <w:b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5A9"/>
    <w:rPr>
      <w:rFonts w:ascii="Book Antiqua" w:eastAsia="Times New Roman" w:hAnsi="Book Antiqua"/>
      <w:sz w:val="28"/>
    </w:rPr>
  </w:style>
  <w:style w:type="paragraph" w:styleId="BodyTextIndent">
    <w:name w:val="Body Text Indent"/>
    <w:basedOn w:val="Normal"/>
    <w:rsid w:val="002875A9"/>
    <w:pPr>
      <w:ind w:left="1440" w:hanging="1440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2875A9"/>
    <w:pPr>
      <w:ind w:left="1440" w:hanging="1440"/>
    </w:pPr>
    <w:rPr>
      <w:rFonts w:ascii="Book Antiqua" w:hAnsi="Book Antiqua"/>
      <w:b/>
      <w:color w:val="000080"/>
    </w:rPr>
  </w:style>
  <w:style w:type="paragraph" w:styleId="BodyTextIndent3">
    <w:name w:val="Body Text Indent 3"/>
    <w:basedOn w:val="Normal"/>
    <w:rsid w:val="002875A9"/>
    <w:pPr>
      <w:ind w:left="2160"/>
    </w:pPr>
    <w:rPr>
      <w:rFonts w:ascii="Book Antiqua" w:hAnsi="Book Antiqua"/>
    </w:rPr>
  </w:style>
  <w:style w:type="paragraph" w:styleId="ListBullet">
    <w:name w:val="List Bullet"/>
    <w:basedOn w:val="Bullet"/>
    <w:autoRedefine/>
    <w:rsid w:val="002875A9"/>
    <w:pPr>
      <w:numPr>
        <w:numId w:val="7"/>
      </w:numPr>
    </w:pPr>
  </w:style>
  <w:style w:type="paragraph" w:customStyle="1" w:styleId="Bullet">
    <w:name w:val="Bullet"/>
    <w:basedOn w:val="BodyText"/>
    <w:next w:val="BodyText"/>
    <w:rsid w:val="002875A9"/>
    <w:pPr>
      <w:spacing w:after="160"/>
    </w:pPr>
    <w:rPr>
      <w:sz w:val="22"/>
    </w:rPr>
  </w:style>
  <w:style w:type="paragraph" w:styleId="BodyText2">
    <w:name w:val="Body Text 2"/>
    <w:basedOn w:val="Normal"/>
    <w:rsid w:val="002875A9"/>
    <w:pPr>
      <w:tabs>
        <w:tab w:val="left" w:pos="463"/>
        <w:tab w:val="left" w:pos="3113"/>
      </w:tabs>
    </w:pPr>
    <w:rPr>
      <w:rFonts w:ascii="Arial" w:eastAsia="Times New Roman" w:hAnsi="Arial"/>
      <w:snapToGrid w:val="0"/>
      <w:color w:val="000000"/>
      <w:sz w:val="16"/>
    </w:rPr>
  </w:style>
  <w:style w:type="paragraph" w:styleId="FootnoteText">
    <w:name w:val="footnote text"/>
    <w:basedOn w:val="BodyText"/>
    <w:semiHidden/>
    <w:rsid w:val="002875A9"/>
    <w:rPr>
      <w:rFonts w:ascii="Arial" w:hAnsi="Arial"/>
      <w:sz w:val="16"/>
    </w:rPr>
  </w:style>
  <w:style w:type="character" w:styleId="PageNumber">
    <w:name w:val="page number"/>
    <w:basedOn w:val="DefaultParagraphFont"/>
    <w:rsid w:val="002875A9"/>
    <w:rPr>
      <w:sz w:val="16"/>
    </w:rPr>
  </w:style>
  <w:style w:type="paragraph" w:styleId="Title">
    <w:name w:val="Title"/>
    <w:basedOn w:val="Normal"/>
    <w:qFormat/>
    <w:rsid w:val="002875A9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4C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020E"/>
    <w:rPr>
      <w:color w:val="0000FF"/>
      <w:u w:val="single"/>
    </w:rPr>
  </w:style>
  <w:style w:type="character" w:styleId="CommentReference">
    <w:name w:val="annotation reference"/>
    <w:basedOn w:val="DefaultParagraphFont"/>
    <w:rsid w:val="00B94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408A"/>
  </w:style>
  <w:style w:type="paragraph" w:styleId="CommentSubject">
    <w:name w:val="annotation subject"/>
    <w:basedOn w:val="CommentText"/>
    <w:next w:val="CommentText"/>
    <w:link w:val="CommentSubjectChar"/>
    <w:rsid w:val="00B94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08A"/>
    <w:rPr>
      <w:b/>
      <w:bCs/>
    </w:rPr>
  </w:style>
  <w:style w:type="character" w:styleId="FollowedHyperlink">
    <w:name w:val="FollowedHyperlink"/>
    <w:basedOn w:val="DefaultParagraphFont"/>
    <w:rsid w:val="00081C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a.gov/climateleaders/documents/greenpower_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~853458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~8534582</Template>
  <TotalTime>0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Leaders GHG Inventory Protocol and Goal Setting Workshop</vt:lpstr>
    </vt:vector>
  </TitlesOfParts>
  <Company>TMP Worldwide</Company>
  <LinksUpToDate>false</LinksUpToDate>
  <CharactersWithSpaces>13315</CharactersWithSpaces>
  <SharedDoc>false</SharedDoc>
  <HLinks>
    <vt:vector size="6" baseType="variant"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http://www.epa.gov/climateleaders/documents/greenpower_guidance.pdf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Leaders GHG Inventory Protocol and Goal Setting Workshop</dc:title>
  <dc:creator>usepa</dc:creator>
  <cp:lastModifiedBy>Stephen Gunther</cp:lastModifiedBy>
  <cp:revision>3</cp:revision>
  <cp:lastPrinted>2005-03-10T20:26:00Z</cp:lastPrinted>
  <dcterms:created xsi:type="dcterms:W3CDTF">2015-07-27T14:35:00Z</dcterms:created>
  <dcterms:modified xsi:type="dcterms:W3CDTF">2015-07-27T14:35:00Z</dcterms:modified>
</cp:coreProperties>
</file>